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AB" w:rsidRDefault="00A55EAB" w:rsidP="00C14220">
      <w:pPr>
        <w:rPr>
          <w:b/>
          <w:bCs/>
          <w:sz w:val="32"/>
          <w:szCs w:val="32"/>
          <w:u w:val="single"/>
        </w:rPr>
      </w:pPr>
      <w:r>
        <w:rPr>
          <w:b/>
          <w:bCs/>
          <w:sz w:val="32"/>
          <w:szCs w:val="32"/>
          <w:u w:val="single"/>
        </w:rPr>
        <w:t xml:space="preserve">POLICY ON </w:t>
      </w:r>
      <w:r w:rsidRPr="00483A1D">
        <w:rPr>
          <w:b/>
          <w:bCs/>
          <w:sz w:val="32"/>
          <w:szCs w:val="32"/>
          <w:u w:val="single"/>
        </w:rPr>
        <w:t>CO</w:t>
      </w:r>
      <w:r>
        <w:rPr>
          <w:b/>
          <w:bCs/>
          <w:sz w:val="32"/>
          <w:szCs w:val="32"/>
          <w:u w:val="single"/>
        </w:rPr>
        <w:t>VID-19 REGULATORY PACKAGE (2.0)</w:t>
      </w:r>
    </w:p>
    <w:p w:rsidR="00A55EAB" w:rsidRDefault="00A55EAB" w:rsidP="00C14220">
      <w:r>
        <w:rPr>
          <w:b/>
          <w:bCs/>
          <w:sz w:val="32"/>
          <w:szCs w:val="32"/>
          <w:u w:val="single"/>
        </w:rPr>
        <w:t>SECOND RESOLUTION FRAMEWORK-2.0: RESOLUTION OF COVID-19 RELATED STRESS OF INDIVIDUALS, SMALL BUSINESS AND MICRO, SMALL AND MEDIUM ENTERPRISES (MSMEs)</w:t>
      </w:r>
    </w:p>
    <w:tbl>
      <w:tblPr>
        <w:tblStyle w:val="TableGrid"/>
        <w:tblW w:w="9918" w:type="dxa"/>
        <w:tblLook w:val="04A0" w:firstRow="1" w:lastRow="0" w:firstColumn="1" w:lastColumn="0" w:noHBand="0" w:noVBand="1"/>
      </w:tblPr>
      <w:tblGrid>
        <w:gridCol w:w="556"/>
        <w:gridCol w:w="2230"/>
        <w:gridCol w:w="496"/>
        <w:gridCol w:w="6636"/>
      </w:tblGrid>
      <w:tr w:rsidR="00A55EAB" w:rsidRPr="00483A1D" w:rsidTr="00F23118">
        <w:tc>
          <w:tcPr>
            <w:tcW w:w="556" w:type="dxa"/>
          </w:tcPr>
          <w:p w:rsidR="00A55EAB" w:rsidRPr="00483A1D" w:rsidRDefault="00A55EAB" w:rsidP="00C14220">
            <w:pPr>
              <w:rPr>
                <w:rFonts w:ascii="Arial" w:hAnsi="Arial" w:cs="Arial"/>
                <w:b/>
                <w:bCs/>
                <w:sz w:val="24"/>
                <w:szCs w:val="24"/>
              </w:rPr>
            </w:pPr>
            <w:r w:rsidRPr="00483A1D">
              <w:rPr>
                <w:rFonts w:ascii="Arial" w:hAnsi="Arial" w:cs="Arial"/>
                <w:b/>
                <w:bCs/>
                <w:sz w:val="24"/>
                <w:szCs w:val="24"/>
              </w:rPr>
              <w:t>Sl.</w:t>
            </w:r>
          </w:p>
        </w:tc>
        <w:tc>
          <w:tcPr>
            <w:tcW w:w="2230" w:type="dxa"/>
          </w:tcPr>
          <w:p w:rsidR="00A55EAB" w:rsidRPr="00483A1D" w:rsidRDefault="00A55EAB" w:rsidP="00C14220">
            <w:pPr>
              <w:rPr>
                <w:rFonts w:ascii="Arial" w:hAnsi="Arial" w:cs="Arial"/>
                <w:b/>
                <w:bCs/>
                <w:sz w:val="24"/>
                <w:szCs w:val="24"/>
              </w:rPr>
            </w:pPr>
            <w:r w:rsidRPr="00483A1D">
              <w:rPr>
                <w:rFonts w:ascii="Arial" w:hAnsi="Arial" w:cs="Arial"/>
                <w:b/>
                <w:bCs/>
                <w:sz w:val="24"/>
                <w:szCs w:val="24"/>
              </w:rPr>
              <w:t>HEADS</w:t>
            </w:r>
          </w:p>
        </w:tc>
        <w:tc>
          <w:tcPr>
            <w:tcW w:w="496" w:type="dxa"/>
          </w:tcPr>
          <w:p w:rsidR="00A55EAB" w:rsidRPr="00483A1D" w:rsidRDefault="00A55EAB" w:rsidP="00C14220">
            <w:pPr>
              <w:rPr>
                <w:rFonts w:ascii="Arial" w:hAnsi="Arial" w:cs="Arial"/>
                <w:b/>
                <w:bCs/>
                <w:sz w:val="24"/>
                <w:szCs w:val="24"/>
              </w:rPr>
            </w:pPr>
          </w:p>
        </w:tc>
        <w:tc>
          <w:tcPr>
            <w:tcW w:w="6636" w:type="dxa"/>
          </w:tcPr>
          <w:p w:rsidR="00A55EAB" w:rsidRPr="00483A1D" w:rsidRDefault="00A55EAB" w:rsidP="00C14220">
            <w:pPr>
              <w:rPr>
                <w:rFonts w:ascii="Arial" w:hAnsi="Arial" w:cs="Arial"/>
                <w:b/>
                <w:bCs/>
                <w:sz w:val="24"/>
                <w:szCs w:val="24"/>
              </w:rPr>
            </w:pPr>
            <w:r w:rsidRPr="00483A1D">
              <w:rPr>
                <w:rFonts w:ascii="Arial" w:hAnsi="Arial" w:cs="Arial"/>
                <w:b/>
                <w:bCs/>
                <w:sz w:val="24"/>
                <w:szCs w:val="24"/>
              </w:rPr>
              <w:t>PARTICULARS</w:t>
            </w:r>
          </w:p>
        </w:tc>
      </w:tr>
      <w:tr w:rsidR="00A55EAB" w:rsidRPr="00483A1D" w:rsidTr="00F23118">
        <w:tc>
          <w:tcPr>
            <w:tcW w:w="556" w:type="dxa"/>
          </w:tcPr>
          <w:p w:rsidR="00A55EAB" w:rsidRPr="00442BCD" w:rsidRDefault="00A55EAB" w:rsidP="00C14220">
            <w:pPr>
              <w:rPr>
                <w:rFonts w:ascii="Arial" w:hAnsi="Arial" w:cs="Arial"/>
                <w:b/>
                <w:bCs/>
                <w:sz w:val="24"/>
                <w:szCs w:val="24"/>
              </w:rPr>
            </w:pPr>
            <w:r>
              <w:rPr>
                <w:rFonts w:ascii="Arial" w:hAnsi="Arial" w:cs="Arial"/>
                <w:b/>
                <w:bCs/>
                <w:sz w:val="24"/>
                <w:szCs w:val="24"/>
              </w:rPr>
              <w:t>1</w:t>
            </w:r>
          </w:p>
        </w:tc>
        <w:tc>
          <w:tcPr>
            <w:tcW w:w="2230" w:type="dxa"/>
          </w:tcPr>
          <w:p w:rsidR="00A55EAB" w:rsidRPr="00483A1D" w:rsidRDefault="00A55EAB" w:rsidP="00C14220">
            <w:pPr>
              <w:rPr>
                <w:rFonts w:ascii="Arial" w:hAnsi="Arial" w:cs="Arial"/>
                <w:b/>
                <w:bCs/>
                <w:sz w:val="24"/>
                <w:szCs w:val="24"/>
              </w:rPr>
            </w:pPr>
            <w:r>
              <w:rPr>
                <w:rFonts w:ascii="Arial" w:hAnsi="Arial" w:cs="Arial"/>
                <w:b/>
                <w:bCs/>
                <w:sz w:val="24"/>
                <w:szCs w:val="24"/>
              </w:rPr>
              <w:t>BACKGROUND</w:t>
            </w:r>
          </w:p>
        </w:tc>
        <w:tc>
          <w:tcPr>
            <w:tcW w:w="496" w:type="dxa"/>
          </w:tcPr>
          <w:p w:rsidR="00A55EAB" w:rsidRPr="00483A1D" w:rsidRDefault="00A55EAB" w:rsidP="00C14220">
            <w:pPr>
              <w:rPr>
                <w:rFonts w:ascii="Arial" w:hAnsi="Arial" w:cs="Arial"/>
                <w:sz w:val="24"/>
                <w:szCs w:val="24"/>
              </w:rPr>
            </w:pPr>
            <w:proofErr w:type="spellStart"/>
            <w:r>
              <w:rPr>
                <w:rFonts w:ascii="Arial" w:hAnsi="Arial" w:cs="Arial"/>
                <w:sz w:val="24"/>
                <w:szCs w:val="24"/>
              </w:rPr>
              <w:t>i</w:t>
            </w:r>
            <w:proofErr w:type="spellEnd"/>
          </w:p>
        </w:tc>
        <w:tc>
          <w:tcPr>
            <w:tcW w:w="6636" w:type="dxa"/>
          </w:tcPr>
          <w:p w:rsidR="00A55EAB" w:rsidRPr="00483A1D" w:rsidRDefault="00A55EAB" w:rsidP="00581991">
            <w:pPr>
              <w:pStyle w:val="Default"/>
              <w:jc w:val="both"/>
              <w:rPr>
                <w:rFonts w:ascii="Arial" w:hAnsi="Arial" w:cs="Arial"/>
                <w:color w:val="auto"/>
              </w:rPr>
            </w:pPr>
            <w:r>
              <w:rPr>
                <w:rFonts w:ascii="Arial" w:hAnsi="Arial" w:cs="Arial"/>
                <w:color w:val="auto"/>
              </w:rPr>
              <w:t xml:space="preserve">The RBI vide their circular dated 06.08.2020 on Resolution Framework for COVID-19 related stress had provided a window to all UCBs to implement resolution plan in respect of eligible borrower and classifying the accounts as standard </w:t>
            </w:r>
            <w:r w:rsidR="00581991">
              <w:rPr>
                <w:rFonts w:ascii="Arial" w:hAnsi="Arial" w:cs="Arial"/>
                <w:color w:val="auto"/>
              </w:rPr>
              <w:t>.</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r>
              <w:rPr>
                <w:rFonts w:ascii="Arial" w:hAnsi="Arial" w:cs="Arial"/>
                <w:sz w:val="24"/>
                <w:szCs w:val="24"/>
              </w:rPr>
              <w:t>ii</w:t>
            </w:r>
          </w:p>
        </w:tc>
        <w:tc>
          <w:tcPr>
            <w:tcW w:w="6636" w:type="dxa"/>
          </w:tcPr>
          <w:p w:rsidR="00A55EAB" w:rsidRPr="00483A1D" w:rsidRDefault="00A55EAB" w:rsidP="00C14220">
            <w:pPr>
              <w:pStyle w:val="Default"/>
              <w:jc w:val="both"/>
              <w:rPr>
                <w:rFonts w:ascii="Arial" w:hAnsi="Arial" w:cs="Arial"/>
                <w:color w:val="auto"/>
              </w:rPr>
            </w:pPr>
            <w:r>
              <w:rPr>
                <w:rFonts w:ascii="Arial" w:hAnsi="Arial" w:cs="Arial"/>
                <w:color w:val="auto"/>
              </w:rPr>
              <w:t>Second resolution framework with following set of measures has also been announced by the RBI vide circular dated 05.05.2021 and certain modification in the exposure limit vide circular dated 04.06.2021. The set of measures are broadly in line with the first resolution framework.</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p>
        </w:tc>
        <w:tc>
          <w:tcPr>
            <w:tcW w:w="6636" w:type="dxa"/>
          </w:tcPr>
          <w:p w:rsidR="00A55EAB" w:rsidRPr="00581991" w:rsidRDefault="00A55EAB" w:rsidP="00C14220">
            <w:pPr>
              <w:pStyle w:val="Default"/>
              <w:jc w:val="both"/>
              <w:rPr>
                <w:rFonts w:ascii="Arial" w:hAnsi="Arial" w:cs="Arial"/>
                <w:color w:val="auto"/>
                <w:sz w:val="32"/>
              </w:rPr>
            </w:pPr>
          </w:p>
        </w:tc>
      </w:tr>
      <w:tr w:rsidR="00A55EAB" w:rsidRPr="00483A1D" w:rsidTr="00F23118">
        <w:tc>
          <w:tcPr>
            <w:tcW w:w="556" w:type="dxa"/>
          </w:tcPr>
          <w:p w:rsidR="00A55EAB" w:rsidRDefault="00A55EAB" w:rsidP="00C14220">
            <w:pPr>
              <w:rPr>
                <w:rFonts w:ascii="Arial" w:hAnsi="Arial" w:cs="Arial"/>
                <w:b/>
                <w:bCs/>
                <w:sz w:val="24"/>
                <w:szCs w:val="24"/>
              </w:rPr>
            </w:pPr>
            <w:r>
              <w:rPr>
                <w:rFonts w:ascii="Arial" w:hAnsi="Arial" w:cs="Arial"/>
                <w:b/>
                <w:bCs/>
                <w:sz w:val="24"/>
                <w:szCs w:val="24"/>
              </w:rPr>
              <w:t>2</w:t>
            </w:r>
          </w:p>
        </w:tc>
        <w:tc>
          <w:tcPr>
            <w:tcW w:w="2230" w:type="dxa"/>
          </w:tcPr>
          <w:p w:rsidR="00A55EAB" w:rsidRPr="00483A1D" w:rsidRDefault="00A55EAB" w:rsidP="00C14220">
            <w:pPr>
              <w:rPr>
                <w:rFonts w:ascii="Arial" w:hAnsi="Arial" w:cs="Arial"/>
                <w:b/>
                <w:bCs/>
                <w:sz w:val="24"/>
                <w:szCs w:val="24"/>
              </w:rPr>
            </w:pPr>
            <w:r>
              <w:rPr>
                <w:rFonts w:ascii="Arial" w:hAnsi="Arial" w:cs="Arial"/>
                <w:b/>
                <w:bCs/>
                <w:sz w:val="24"/>
                <w:szCs w:val="24"/>
              </w:rPr>
              <w:t>BOARD APPROVED POLICY</w:t>
            </w:r>
          </w:p>
        </w:tc>
        <w:tc>
          <w:tcPr>
            <w:tcW w:w="496" w:type="dxa"/>
          </w:tcPr>
          <w:p w:rsidR="00A55EAB" w:rsidRPr="00483A1D" w:rsidRDefault="00A55EAB" w:rsidP="00C14220">
            <w:pPr>
              <w:rPr>
                <w:rFonts w:ascii="Arial" w:hAnsi="Arial" w:cs="Arial"/>
                <w:sz w:val="24"/>
                <w:szCs w:val="24"/>
              </w:rPr>
            </w:pPr>
          </w:p>
        </w:tc>
        <w:tc>
          <w:tcPr>
            <w:tcW w:w="6636" w:type="dxa"/>
          </w:tcPr>
          <w:p w:rsidR="00A55EAB" w:rsidRPr="00483A1D" w:rsidRDefault="00A55EAB" w:rsidP="00C14220">
            <w:pPr>
              <w:pStyle w:val="Default"/>
              <w:jc w:val="both"/>
              <w:rPr>
                <w:rFonts w:ascii="Arial" w:hAnsi="Arial" w:cs="Arial"/>
                <w:color w:val="auto"/>
              </w:rPr>
            </w:pPr>
            <w:r>
              <w:rPr>
                <w:rFonts w:ascii="Arial" w:hAnsi="Arial" w:cs="Arial"/>
                <w:color w:val="auto"/>
              </w:rPr>
              <w:t>To implement the resolution plan, Board approved policy is required and shall be published/ disclosed in the public domain on the bank’s official website.</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p>
        </w:tc>
        <w:tc>
          <w:tcPr>
            <w:tcW w:w="6636" w:type="dxa"/>
          </w:tcPr>
          <w:p w:rsidR="00A55EAB" w:rsidRPr="00581991" w:rsidRDefault="00A55EAB" w:rsidP="00C14220">
            <w:pPr>
              <w:pStyle w:val="Default"/>
              <w:jc w:val="both"/>
              <w:rPr>
                <w:rFonts w:ascii="Arial" w:hAnsi="Arial" w:cs="Arial"/>
                <w:color w:val="auto"/>
                <w:sz w:val="32"/>
              </w:rPr>
            </w:pPr>
          </w:p>
        </w:tc>
      </w:tr>
      <w:tr w:rsidR="00A55EAB" w:rsidRPr="00483A1D" w:rsidTr="00F23118">
        <w:tc>
          <w:tcPr>
            <w:tcW w:w="556" w:type="dxa"/>
          </w:tcPr>
          <w:p w:rsidR="00A55EAB" w:rsidRDefault="00A55EAB" w:rsidP="00C14220">
            <w:pPr>
              <w:rPr>
                <w:rFonts w:ascii="Arial" w:hAnsi="Arial" w:cs="Arial"/>
                <w:b/>
                <w:bCs/>
                <w:sz w:val="24"/>
                <w:szCs w:val="24"/>
              </w:rPr>
            </w:pPr>
            <w:r>
              <w:rPr>
                <w:rFonts w:ascii="Arial" w:hAnsi="Arial" w:cs="Arial"/>
                <w:b/>
                <w:bCs/>
                <w:sz w:val="24"/>
                <w:szCs w:val="24"/>
              </w:rPr>
              <w:t>3</w:t>
            </w:r>
          </w:p>
        </w:tc>
        <w:tc>
          <w:tcPr>
            <w:tcW w:w="2230" w:type="dxa"/>
          </w:tcPr>
          <w:p w:rsidR="00A55EAB" w:rsidRPr="00483A1D" w:rsidRDefault="00A55EAB" w:rsidP="00C14220">
            <w:pPr>
              <w:rPr>
                <w:rFonts w:ascii="Arial" w:hAnsi="Arial" w:cs="Arial"/>
                <w:b/>
                <w:bCs/>
                <w:sz w:val="24"/>
                <w:szCs w:val="24"/>
              </w:rPr>
            </w:pPr>
            <w:r w:rsidRPr="00483A1D">
              <w:rPr>
                <w:rFonts w:ascii="Arial" w:hAnsi="Arial" w:cs="Arial"/>
                <w:b/>
                <w:bCs/>
                <w:sz w:val="24"/>
                <w:szCs w:val="24"/>
              </w:rPr>
              <w:t>OBJECTIVES</w:t>
            </w:r>
          </w:p>
        </w:tc>
        <w:tc>
          <w:tcPr>
            <w:tcW w:w="496" w:type="dxa"/>
          </w:tcPr>
          <w:p w:rsidR="00A55EAB" w:rsidRPr="00483A1D" w:rsidRDefault="00A55EAB" w:rsidP="00C14220">
            <w:pPr>
              <w:rPr>
                <w:rFonts w:ascii="Arial" w:hAnsi="Arial" w:cs="Arial"/>
                <w:sz w:val="24"/>
                <w:szCs w:val="24"/>
              </w:rPr>
            </w:pPr>
            <w:proofErr w:type="spellStart"/>
            <w:r>
              <w:rPr>
                <w:rFonts w:ascii="Arial" w:hAnsi="Arial" w:cs="Arial"/>
                <w:sz w:val="24"/>
                <w:szCs w:val="24"/>
              </w:rPr>
              <w:t>i</w:t>
            </w:r>
            <w:proofErr w:type="spellEnd"/>
          </w:p>
        </w:tc>
        <w:tc>
          <w:tcPr>
            <w:tcW w:w="6636" w:type="dxa"/>
          </w:tcPr>
          <w:p w:rsidR="00A55EAB" w:rsidRPr="00483A1D" w:rsidRDefault="00A55EAB" w:rsidP="00C14220">
            <w:pPr>
              <w:pStyle w:val="Default"/>
              <w:jc w:val="both"/>
              <w:rPr>
                <w:rFonts w:ascii="Arial" w:hAnsi="Arial" w:cs="Arial"/>
                <w:color w:val="auto"/>
              </w:rPr>
            </w:pPr>
            <w:r>
              <w:rPr>
                <w:rFonts w:ascii="Arial" w:hAnsi="Arial" w:cs="Arial"/>
                <w:color w:val="auto"/>
              </w:rPr>
              <w:t>The spread of second wave of pandemic may impact the recovery process and create new uncertainties.</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ii</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Alleviating the potential stress to individual borrowers, small borrowers and MSMEs.</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r>
              <w:rPr>
                <w:rFonts w:ascii="Arial" w:hAnsi="Arial" w:cs="Arial"/>
                <w:sz w:val="24"/>
                <w:szCs w:val="24"/>
              </w:rPr>
              <w:t>iii</w:t>
            </w:r>
          </w:p>
        </w:tc>
        <w:tc>
          <w:tcPr>
            <w:tcW w:w="6636" w:type="dxa"/>
          </w:tcPr>
          <w:p w:rsidR="00A55EAB" w:rsidRPr="00483A1D" w:rsidRDefault="00A55EAB" w:rsidP="00C14220">
            <w:pPr>
              <w:pStyle w:val="Default"/>
              <w:jc w:val="both"/>
              <w:rPr>
                <w:rFonts w:ascii="Arial" w:hAnsi="Arial" w:cs="Arial"/>
                <w:color w:val="auto"/>
              </w:rPr>
            </w:pPr>
            <w:r w:rsidRPr="00483A1D">
              <w:rPr>
                <w:rFonts w:ascii="Arial" w:hAnsi="Arial" w:cs="Arial"/>
                <w:color w:val="auto"/>
              </w:rPr>
              <w:t>To provide financial relief by way of providing extension in repayment tenure by relaxation in original terms and conditions of repayment in view of genuine needs or difficulties in their life and certain circumstances in which default in repayment of the loan occurred.</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iv</w:t>
            </w:r>
          </w:p>
        </w:tc>
        <w:tc>
          <w:tcPr>
            <w:tcW w:w="6636" w:type="dxa"/>
          </w:tcPr>
          <w:p w:rsidR="00A55EAB" w:rsidRPr="00483A1D" w:rsidRDefault="00A55EAB" w:rsidP="00581991">
            <w:pPr>
              <w:pStyle w:val="Default"/>
              <w:jc w:val="both"/>
              <w:rPr>
                <w:rFonts w:ascii="Arial" w:hAnsi="Arial" w:cs="Arial"/>
                <w:color w:val="auto"/>
              </w:rPr>
            </w:pPr>
            <w:r>
              <w:rPr>
                <w:rFonts w:ascii="Arial" w:hAnsi="Arial" w:cs="Arial"/>
                <w:color w:val="auto"/>
              </w:rPr>
              <w:t xml:space="preserve">Classifying the loan accounts as Standard upon implementation of the resolution plan </w:t>
            </w:r>
            <w:r w:rsidR="00581991">
              <w:rPr>
                <w:rFonts w:ascii="Arial" w:hAnsi="Arial" w:cs="Arial"/>
                <w:color w:val="auto"/>
              </w:rPr>
              <w:t>.</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p>
        </w:tc>
        <w:tc>
          <w:tcPr>
            <w:tcW w:w="6636" w:type="dxa"/>
          </w:tcPr>
          <w:p w:rsidR="00A55EAB" w:rsidRPr="00581991" w:rsidRDefault="00A55EAB" w:rsidP="00C14220">
            <w:pPr>
              <w:pStyle w:val="Default"/>
              <w:jc w:val="both"/>
              <w:rPr>
                <w:rFonts w:ascii="Arial" w:hAnsi="Arial" w:cs="Arial"/>
                <w:color w:val="auto"/>
                <w:sz w:val="32"/>
              </w:rPr>
            </w:pPr>
          </w:p>
        </w:tc>
      </w:tr>
      <w:tr w:rsidR="00A55EAB" w:rsidRPr="00483A1D" w:rsidTr="00F23118">
        <w:tc>
          <w:tcPr>
            <w:tcW w:w="556" w:type="dxa"/>
          </w:tcPr>
          <w:p w:rsidR="00A55EAB" w:rsidRPr="00442BCD" w:rsidRDefault="00A55EAB" w:rsidP="00C14220">
            <w:pPr>
              <w:rPr>
                <w:rFonts w:ascii="Arial" w:hAnsi="Arial" w:cs="Arial"/>
                <w:b/>
                <w:bCs/>
                <w:sz w:val="24"/>
                <w:szCs w:val="24"/>
              </w:rPr>
            </w:pPr>
            <w:r>
              <w:rPr>
                <w:rFonts w:ascii="Arial" w:hAnsi="Arial" w:cs="Arial"/>
                <w:b/>
                <w:bCs/>
                <w:sz w:val="24"/>
                <w:szCs w:val="24"/>
              </w:rPr>
              <w:t>4</w:t>
            </w:r>
          </w:p>
        </w:tc>
        <w:tc>
          <w:tcPr>
            <w:tcW w:w="2230" w:type="dxa"/>
          </w:tcPr>
          <w:p w:rsidR="00A55EAB" w:rsidRPr="00483A1D" w:rsidRDefault="00A55EAB" w:rsidP="00C14220">
            <w:pPr>
              <w:rPr>
                <w:rFonts w:ascii="Arial" w:hAnsi="Arial" w:cs="Arial"/>
                <w:b/>
                <w:bCs/>
                <w:sz w:val="24"/>
                <w:szCs w:val="24"/>
              </w:rPr>
            </w:pPr>
            <w:r>
              <w:rPr>
                <w:rFonts w:ascii="Arial" w:hAnsi="Arial" w:cs="Arial"/>
                <w:b/>
                <w:bCs/>
                <w:sz w:val="24"/>
                <w:szCs w:val="24"/>
              </w:rPr>
              <w:t>SET OF MEASURES</w:t>
            </w:r>
          </w:p>
        </w:tc>
        <w:tc>
          <w:tcPr>
            <w:tcW w:w="496" w:type="dxa"/>
          </w:tcPr>
          <w:p w:rsidR="00A55EAB" w:rsidRDefault="00A55EAB" w:rsidP="00C14220">
            <w:pPr>
              <w:rPr>
                <w:rFonts w:ascii="Arial" w:hAnsi="Arial" w:cs="Arial"/>
                <w:sz w:val="24"/>
                <w:szCs w:val="24"/>
              </w:rPr>
            </w:pPr>
          </w:p>
        </w:tc>
        <w:tc>
          <w:tcPr>
            <w:tcW w:w="6636" w:type="dxa"/>
          </w:tcPr>
          <w:p w:rsidR="00A55EAB" w:rsidRPr="00483A1D" w:rsidRDefault="00A55EAB" w:rsidP="00C14220">
            <w:pPr>
              <w:pStyle w:val="Default"/>
              <w:jc w:val="both"/>
              <w:rPr>
                <w:rFonts w:ascii="Arial" w:hAnsi="Arial" w:cs="Arial"/>
                <w:color w:val="auto"/>
              </w:rPr>
            </w:pPr>
            <w:r>
              <w:rPr>
                <w:rFonts w:ascii="Arial" w:hAnsi="Arial" w:cs="Arial"/>
                <w:color w:val="auto"/>
              </w:rPr>
              <w:t>The relief measures under second resolution framework are categorized under three major parts.</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A</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Resolution of advances to individuals, small business and MSMEs.</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B</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Working capital support for individuals availed loans for business purpose and small business units, where resolution plans were implemented previously.</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C</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List of disclosure requirement for the Bank.</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p>
        </w:tc>
        <w:tc>
          <w:tcPr>
            <w:tcW w:w="6636" w:type="dxa"/>
          </w:tcPr>
          <w:p w:rsidR="00A55EAB" w:rsidRPr="00581991" w:rsidRDefault="00A55EAB" w:rsidP="00C14220">
            <w:pPr>
              <w:pStyle w:val="Default"/>
              <w:jc w:val="both"/>
              <w:rPr>
                <w:rFonts w:ascii="Arial" w:hAnsi="Arial" w:cs="Arial"/>
                <w:color w:val="auto"/>
                <w:sz w:val="32"/>
              </w:rPr>
            </w:pPr>
          </w:p>
        </w:tc>
      </w:tr>
      <w:tr w:rsidR="00A55EAB" w:rsidRPr="00483A1D" w:rsidTr="00F23118">
        <w:tc>
          <w:tcPr>
            <w:tcW w:w="556" w:type="dxa"/>
          </w:tcPr>
          <w:p w:rsidR="00A55EAB" w:rsidRDefault="00A55EAB" w:rsidP="00C14220">
            <w:pPr>
              <w:rPr>
                <w:rFonts w:ascii="Arial" w:hAnsi="Arial" w:cs="Arial"/>
                <w:b/>
                <w:bCs/>
                <w:sz w:val="24"/>
                <w:szCs w:val="24"/>
              </w:rPr>
            </w:pPr>
            <w:r>
              <w:rPr>
                <w:rFonts w:ascii="Arial" w:hAnsi="Arial" w:cs="Arial"/>
                <w:b/>
                <w:bCs/>
                <w:sz w:val="24"/>
                <w:szCs w:val="24"/>
              </w:rPr>
              <w:t>5</w:t>
            </w:r>
          </w:p>
        </w:tc>
        <w:tc>
          <w:tcPr>
            <w:tcW w:w="2230" w:type="dxa"/>
          </w:tcPr>
          <w:p w:rsidR="00A55EAB" w:rsidRDefault="00A55EAB" w:rsidP="00C14220">
            <w:pPr>
              <w:rPr>
                <w:rFonts w:ascii="Arial" w:hAnsi="Arial" w:cs="Arial"/>
                <w:b/>
                <w:bCs/>
                <w:sz w:val="24"/>
                <w:szCs w:val="24"/>
              </w:rPr>
            </w:pPr>
            <w:r w:rsidRPr="00483A1D">
              <w:rPr>
                <w:rFonts w:ascii="Arial" w:hAnsi="Arial" w:cs="Arial"/>
                <w:b/>
                <w:bCs/>
                <w:sz w:val="24"/>
                <w:szCs w:val="24"/>
              </w:rPr>
              <w:t>EL</w:t>
            </w:r>
            <w:r>
              <w:rPr>
                <w:rFonts w:ascii="Arial" w:hAnsi="Arial" w:cs="Arial"/>
                <w:b/>
                <w:bCs/>
                <w:sz w:val="24"/>
                <w:szCs w:val="24"/>
              </w:rPr>
              <w:t>I</w:t>
            </w:r>
            <w:r w:rsidRPr="00483A1D">
              <w:rPr>
                <w:rFonts w:ascii="Arial" w:hAnsi="Arial" w:cs="Arial"/>
                <w:b/>
                <w:bCs/>
                <w:sz w:val="24"/>
                <w:szCs w:val="24"/>
              </w:rPr>
              <w:t>GIBILITY</w:t>
            </w:r>
          </w:p>
        </w:tc>
        <w:tc>
          <w:tcPr>
            <w:tcW w:w="496" w:type="dxa"/>
          </w:tcPr>
          <w:p w:rsidR="00A55EAB" w:rsidRDefault="00A55EAB" w:rsidP="00C14220">
            <w:pPr>
              <w:rPr>
                <w:rFonts w:ascii="Arial" w:hAnsi="Arial" w:cs="Arial"/>
                <w:sz w:val="24"/>
                <w:szCs w:val="24"/>
              </w:rPr>
            </w:pP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The following borrowers availing credit facilities and classified as standard as on 31.03.21 shall be eligible for second resolution framework.</w:t>
            </w:r>
          </w:p>
          <w:p w:rsidR="00581991" w:rsidRDefault="00581991" w:rsidP="00C14220">
            <w:pPr>
              <w:pStyle w:val="Default"/>
              <w:jc w:val="both"/>
              <w:rPr>
                <w:rFonts w:ascii="Arial" w:hAnsi="Arial" w:cs="Arial"/>
                <w:color w:val="auto"/>
              </w:rPr>
            </w:pP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a.</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Individual personal loan borrowers excluding own staff members.</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b.</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Individuals availed loans for business purpose with aggregate exposure not more than Rs.50 crore.</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c.</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Small business units including those engaged in retail and whole sale trade.</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d.</w:t>
            </w:r>
          </w:p>
        </w:tc>
        <w:tc>
          <w:tcPr>
            <w:tcW w:w="6636" w:type="dxa"/>
          </w:tcPr>
          <w:p w:rsidR="00A55EAB" w:rsidRDefault="00A55EAB" w:rsidP="006C5FB6">
            <w:pPr>
              <w:pStyle w:val="Default"/>
              <w:jc w:val="both"/>
              <w:rPr>
                <w:rFonts w:ascii="Arial" w:hAnsi="Arial" w:cs="Arial"/>
                <w:color w:val="auto"/>
              </w:rPr>
            </w:pPr>
            <w:r>
              <w:rPr>
                <w:rFonts w:ascii="Arial" w:hAnsi="Arial" w:cs="Arial"/>
                <w:color w:val="auto"/>
              </w:rPr>
              <w:t>All the units classified as Micro, small and medium enterprises</w:t>
            </w:r>
            <w:r w:rsidR="006C5FB6">
              <w:rPr>
                <w:rFonts w:ascii="Arial" w:hAnsi="Arial" w:cs="Arial"/>
                <w:color w:val="auto"/>
              </w:rPr>
              <w:t xml:space="preserve">, Health care unit </w:t>
            </w:r>
            <w:r w:rsidR="006C5FB6">
              <w:rPr>
                <w:rFonts w:ascii="Arial" w:hAnsi="Arial" w:cs="Arial"/>
                <w:color w:val="auto"/>
              </w:rPr>
              <w:t>and</w:t>
            </w:r>
            <w:bookmarkStart w:id="0" w:name="_GoBack"/>
            <w:bookmarkEnd w:id="0"/>
            <w:r w:rsidR="006C5FB6">
              <w:rPr>
                <w:rFonts w:ascii="Arial" w:hAnsi="Arial" w:cs="Arial"/>
                <w:color w:val="auto"/>
              </w:rPr>
              <w:t xml:space="preserve"> Social infrastructure</w:t>
            </w:r>
            <w:r>
              <w:rPr>
                <w:rFonts w:ascii="Arial" w:hAnsi="Arial" w:cs="Arial"/>
                <w:color w:val="auto"/>
              </w:rPr>
              <w:t xml:space="preserve"> with aggregate exposure not more than </w:t>
            </w:r>
            <w:proofErr w:type="spellStart"/>
            <w:r>
              <w:rPr>
                <w:rFonts w:ascii="Arial" w:hAnsi="Arial" w:cs="Arial"/>
                <w:color w:val="auto"/>
              </w:rPr>
              <w:t>Rs</w:t>
            </w:r>
            <w:proofErr w:type="spellEnd"/>
            <w:r>
              <w:rPr>
                <w:rFonts w:ascii="Arial" w:hAnsi="Arial" w:cs="Arial"/>
                <w:color w:val="auto"/>
              </w:rPr>
              <w:t>. 50 crore.</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e.</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 xml:space="preserve">The borrowing unit/ individual having stress on account of </w:t>
            </w:r>
            <w:proofErr w:type="spellStart"/>
            <w:r>
              <w:rPr>
                <w:rFonts w:ascii="Arial" w:hAnsi="Arial" w:cs="Arial"/>
                <w:color w:val="auto"/>
              </w:rPr>
              <w:t>covid</w:t>
            </w:r>
            <w:proofErr w:type="spellEnd"/>
            <w:r>
              <w:rPr>
                <w:rFonts w:ascii="Arial" w:hAnsi="Arial" w:cs="Arial"/>
                <w:color w:val="auto"/>
              </w:rPr>
              <w:t xml:space="preserve"> pandemic.</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p>
        </w:tc>
        <w:tc>
          <w:tcPr>
            <w:tcW w:w="6636" w:type="dxa"/>
          </w:tcPr>
          <w:p w:rsidR="00A55EAB" w:rsidRDefault="00A55EAB" w:rsidP="00C14220">
            <w:pPr>
              <w:pStyle w:val="Default"/>
              <w:jc w:val="both"/>
              <w:rPr>
                <w:rFonts w:ascii="Arial" w:hAnsi="Arial" w:cs="Arial"/>
                <w:color w:val="auto"/>
              </w:rPr>
            </w:pPr>
          </w:p>
        </w:tc>
      </w:tr>
      <w:tr w:rsidR="00A55EAB" w:rsidRPr="00483A1D" w:rsidTr="00F23118">
        <w:tc>
          <w:tcPr>
            <w:tcW w:w="556" w:type="dxa"/>
          </w:tcPr>
          <w:p w:rsidR="00A55EAB" w:rsidRDefault="00A55EAB" w:rsidP="00C14220">
            <w:pPr>
              <w:rPr>
                <w:rFonts w:ascii="Arial" w:hAnsi="Arial" w:cs="Arial"/>
                <w:b/>
                <w:bCs/>
                <w:sz w:val="24"/>
                <w:szCs w:val="24"/>
              </w:rPr>
            </w:pPr>
            <w:r>
              <w:rPr>
                <w:rFonts w:ascii="Arial" w:hAnsi="Arial" w:cs="Arial"/>
                <w:b/>
                <w:bCs/>
                <w:sz w:val="24"/>
                <w:szCs w:val="24"/>
              </w:rPr>
              <w:t>6</w:t>
            </w:r>
          </w:p>
        </w:tc>
        <w:tc>
          <w:tcPr>
            <w:tcW w:w="2230" w:type="dxa"/>
          </w:tcPr>
          <w:p w:rsidR="00A55EAB" w:rsidRDefault="00A55EAB" w:rsidP="00C14220">
            <w:pPr>
              <w:rPr>
                <w:rFonts w:ascii="Arial" w:hAnsi="Arial" w:cs="Arial"/>
                <w:b/>
                <w:bCs/>
                <w:sz w:val="24"/>
                <w:szCs w:val="24"/>
              </w:rPr>
            </w:pPr>
            <w:r>
              <w:rPr>
                <w:rFonts w:ascii="Arial" w:hAnsi="Arial" w:cs="Arial"/>
                <w:b/>
                <w:bCs/>
                <w:sz w:val="24"/>
                <w:szCs w:val="24"/>
              </w:rPr>
              <w:t>LAST DATE</w:t>
            </w:r>
          </w:p>
        </w:tc>
        <w:tc>
          <w:tcPr>
            <w:tcW w:w="496" w:type="dxa"/>
          </w:tcPr>
          <w:p w:rsidR="00A55EAB" w:rsidRDefault="00A55EAB" w:rsidP="00C14220">
            <w:pPr>
              <w:rPr>
                <w:rFonts w:ascii="Arial" w:hAnsi="Arial" w:cs="Arial"/>
                <w:sz w:val="24"/>
                <w:szCs w:val="24"/>
              </w:rPr>
            </w:pP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The last date for invocation of resolution permitted under this window is September 30, 2021.</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p>
        </w:tc>
        <w:tc>
          <w:tcPr>
            <w:tcW w:w="6636" w:type="dxa"/>
          </w:tcPr>
          <w:p w:rsidR="00A55EAB" w:rsidRDefault="00A55EAB" w:rsidP="00C14220">
            <w:pPr>
              <w:pStyle w:val="Default"/>
              <w:jc w:val="both"/>
              <w:rPr>
                <w:rFonts w:ascii="Arial" w:hAnsi="Arial" w:cs="Arial"/>
                <w:color w:val="auto"/>
              </w:rPr>
            </w:pPr>
          </w:p>
        </w:tc>
      </w:tr>
      <w:tr w:rsidR="00A55EAB" w:rsidRPr="00483A1D" w:rsidTr="00F23118">
        <w:tc>
          <w:tcPr>
            <w:tcW w:w="556" w:type="dxa"/>
          </w:tcPr>
          <w:p w:rsidR="00A55EAB" w:rsidRDefault="00A55EAB" w:rsidP="00C14220">
            <w:pPr>
              <w:rPr>
                <w:rFonts w:ascii="Arial" w:hAnsi="Arial" w:cs="Arial"/>
                <w:b/>
                <w:bCs/>
                <w:sz w:val="24"/>
                <w:szCs w:val="24"/>
              </w:rPr>
            </w:pPr>
            <w:r>
              <w:rPr>
                <w:rFonts w:ascii="Arial" w:hAnsi="Arial" w:cs="Arial"/>
                <w:b/>
                <w:bCs/>
                <w:sz w:val="24"/>
                <w:szCs w:val="24"/>
              </w:rPr>
              <w:t>7</w:t>
            </w:r>
          </w:p>
        </w:tc>
        <w:tc>
          <w:tcPr>
            <w:tcW w:w="2230" w:type="dxa"/>
          </w:tcPr>
          <w:p w:rsidR="00A55EAB" w:rsidRDefault="00A55EAB" w:rsidP="00C14220">
            <w:pPr>
              <w:rPr>
                <w:rFonts w:ascii="Arial" w:hAnsi="Arial" w:cs="Arial"/>
                <w:b/>
                <w:bCs/>
                <w:sz w:val="24"/>
                <w:szCs w:val="24"/>
              </w:rPr>
            </w:pPr>
            <w:r>
              <w:rPr>
                <w:rFonts w:ascii="Arial" w:hAnsi="Arial" w:cs="Arial"/>
                <w:b/>
                <w:bCs/>
                <w:sz w:val="24"/>
                <w:szCs w:val="24"/>
              </w:rPr>
              <w:t>PERMITTED FEATURES OF RESOLUTION</w:t>
            </w:r>
          </w:p>
        </w:tc>
        <w:tc>
          <w:tcPr>
            <w:tcW w:w="496" w:type="dxa"/>
          </w:tcPr>
          <w:p w:rsidR="00A55EAB" w:rsidRDefault="00A55EAB" w:rsidP="00C14220">
            <w:pPr>
              <w:rPr>
                <w:rFonts w:ascii="Arial" w:hAnsi="Arial" w:cs="Arial"/>
                <w:sz w:val="24"/>
                <w:szCs w:val="24"/>
              </w:rPr>
            </w:pP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The following measures are permitted under this resolution plan implemented under this window based on an assessment of income streams of the borrower.</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a.</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Rescheduling of payments.</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b.</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Conversion of any interest accrued or to be accrued into another credit facility.</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c.</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Revision in working capital limit</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d.</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Granting of moratorium period.</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e.</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The moratorium period may be for a maximum period of two (2) years. The extension of the residual tenor may also be granted to the borrower with or without payment moratorium. The overall cap on extension of residual tenor, inclusive of moratorium period if any permitted, shall be two years.</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p>
        </w:tc>
        <w:tc>
          <w:tcPr>
            <w:tcW w:w="6636" w:type="dxa"/>
          </w:tcPr>
          <w:p w:rsidR="00A55EAB" w:rsidRDefault="00A55EAB" w:rsidP="00C14220">
            <w:pPr>
              <w:pStyle w:val="Default"/>
              <w:jc w:val="both"/>
              <w:rPr>
                <w:rFonts w:ascii="Arial" w:hAnsi="Arial" w:cs="Arial"/>
                <w:color w:val="auto"/>
              </w:rPr>
            </w:pPr>
          </w:p>
        </w:tc>
      </w:tr>
      <w:tr w:rsidR="00A55EAB" w:rsidRPr="00483A1D" w:rsidTr="00F23118">
        <w:tc>
          <w:tcPr>
            <w:tcW w:w="556" w:type="dxa"/>
          </w:tcPr>
          <w:p w:rsidR="00A55EAB" w:rsidRPr="00442BCD" w:rsidRDefault="00A55EAB" w:rsidP="00C14220">
            <w:pPr>
              <w:rPr>
                <w:rFonts w:ascii="Arial" w:hAnsi="Arial" w:cs="Arial"/>
                <w:b/>
                <w:bCs/>
                <w:sz w:val="24"/>
                <w:szCs w:val="24"/>
              </w:rPr>
            </w:pPr>
            <w:r>
              <w:rPr>
                <w:rFonts w:ascii="Arial" w:hAnsi="Arial" w:cs="Arial"/>
                <w:b/>
                <w:bCs/>
                <w:sz w:val="24"/>
                <w:szCs w:val="24"/>
              </w:rPr>
              <w:t>8</w:t>
            </w:r>
          </w:p>
        </w:tc>
        <w:tc>
          <w:tcPr>
            <w:tcW w:w="2230" w:type="dxa"/>
          </w:tcPr>
          <w:p w:rsidR="00A55EAB" w:rsidRPr="00483A1D" w:rsidRDefault="00A55EAB" w:rsidP="00C14220">
            <w:pPr>
              <w:rPr>
                <w:rFonts w:ascii="Arial" w:hAnsi="Arial" w:cs="Arial"/>
                <w:b/>
                <w:bCs/>
                <w:sz w:val="24"/>
                <w:szCs w:val="24"/>
              </w:rPr>
            </w:pPr>
            <w:r w:rsidRPr="00483A1D">
              <w:rPr>
                <w:rFonts w:ascii="Arial" w:hAnsi="Arial" w:cs="Arial"/>
                <w:b/>
                <w:bCs/>
                <w:sz w:val="24"/>
                <w:szCs w:val="24"/>
              </w:rPr>
              <w:t>DOCUMENTS</w:t>
            </w:r>
            <w:r>
              <w:rPr>
                <w:rFonts w:ascii="Arial" w:hAnsi="Arial" w:cs="Arial"/>
                <w:b/>
                <w:bCs/>
                <w:sz w:val="24"/>
                <w:szCs w:val="24"/>
              </w:rPr>
              <w:t>/ PROCESS</w:t>
            </w:r>
          </w:p>
        </w:tc>
        <w:tc>
          <w:tcPr>
            <w:tcW w:w="496" w:type="dxa"/>
          </w:tcPr>
          <w:p w:rsidR="00A55EAB" w:rsidRPr="00483A1D" w:rsidRDefault="00A55EAB" w:rsidP="00C14220">
            <w:pPr>
              <w:rPr>
                <w:rFonts w:ascii="Arial" w:hAnsi="Arial" w:cs="Arial"/>
                <w:sz w:val="24"/>
                <w:szCs w:val="24"/>
              </w:rPr>
            </w:pPr>
            <w:proofErr w:type="spellStart"/>
            <w:r w:rsidRPr="00483A1D">
              <w:rPr>
                <w:rFonts w:ascii="Arial" w:hAnsi="Arial" w:cs="Arial"/>
                <w:sz w:val="24"/>
                <w:szCs w:val="24"/>
              </w:rPr>
              <w:t>i</w:t>
            </w:r>
            <w:proofErr w:type="spellEnd"/>
          </w:p>
        </w:tc>
        <w:tc>
          <w:tcPr>
            <w:tcW w:w="6636" w:type="dxa"/>
          </w:tcPr>
          <w:p w:rsidR="00A55EAB" w:rsidRPr="00483A1D" w:rsidRDefault="00A55EAB" w:rsidP="00C14220">
            <w:pPr>
              <w:jc w:val="both"/>
              <w:rPr>
                <w:rFonts w:ascii="Arial" w:hAnsi="Arial" w:cs="Arial"/>
                <w:sz w:val="24"/>
                <w:szCs w:val="24"/>
              </w:rPr>
            </w:pPr>
            <w:r w:rsidRPr="00483A1D">
              <w:rPr>
                <w:rFonts w:ascii="Arial" w:hAnsi="Arial" w:cs="Arial"/>
                <w:sz w:val="24"/>
                <w:szCs w:val="24"/>
              </w:rPr>
              <w:t>Simple request letter from the borrower (s) for</w:t>
            </w:r>
            <w:r>
              <w:rPr>
                <w:rFonts w:ascii="Arial" w:hAnsi="Arial" w:cs="Arial"/>
                <w:sz w:val="24"/>
                <w:szCs w:val="24"/>
              </w:rPr>
              <w:t xml:space="preserve"> resolution under this window.</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r>
              <w:rPr>
                <w:rFonts w:ascii="Arial" w:hAnsi="Arial" w:cs="Arial"/>
                <w:sz w:val="24"/>
                <w:szCs w:val="24"/>
              </w:rPr>
              <w:t>ii</w:t>
            </w:r>
          </w:p>
        </w:tc>
        <w:tc>
          <w:tcPr>
            <w:tcW w:w="6636" w:type="dxa"/>
          </w:tcPr>
          <w:p w:rsidR="00A55EAB" w:rsidRPr="00483A1D" w:rsidRDefault="00A55EAB" w:rsidP="00C14220">
            <w:pPr>
              <w:jc w:val="both"/>
              <w:rPr>
                <w:rFonts w:ascii="Arial" w:hAnsi="Arial" w:cs="Arial"/>
                <w:sz w:val="24"/>
                <w:szCs w:val="24"/>
              </w:rPr>
            </w:pPr>
            <w:r>
              <w:rPr>
                <w:rFonts w:ascii="Arial" w:hAnsi="Arial" w:cs="Arial"/>
                <w:sz w:val="24"/>
                <w:szCs w:val="24"/>
              </w:rPr>
              <w:t>Assessment of eligibility for resolution to be completed and decision on the application shall be communicated in writing to the applicant Borrowers within 30 days of receipt of application.</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r>
              <w:rPr>
                <w:rFonts w:ascii="Arial" w:hAnsi="Arial" w:cs="Arial"/>
                <w:sz w:val="24"/>
                <w:szCs w:val="24"/>
              </w:rPr>
              <w:t>iii</w:t>
            </w:r>
          </w:p>
        </w:tc>
        <w:tc>
          <w:tcPr>
            <w:tcW w:w="6636" w:type="dxa"/>
          </w:tcPr>
          <w:p w:rsidR="00A55EAB" w:rsidRPr="00483A1D" w:rsidRDefault="00A55EAB" w:rsidP="00C14220">
            <w:pPr>
              <w:jc w:val="both"/>
              <w:rPr>
                <w:rFonts w:ascii="Arial" w:hAnsi="Arial" w:cs="Arial"/>
                <w:sz w:val="24"/>
                <w:szCs w:val="24"/>
              </w:rPr>
            </w:pPr>
            <w:r w:rsidRPr="00483A1D">
              <w:rPr>
                <w:rFonts w:ascii="Arial" w:hAnsi="Arial" w:cs="Arial"/>
                <w:sz w:val="24"/>
                <w:szCs w:val="24"/>
              </w:rPr>
              <w:t xml:space="preserve">Arrangement Letter for advising </w:t>
            </w:r>
            <w:proofErr w:type="spellStart"/>
            <w:r w:rsidRPr="00483A1D">
              <w:rPr>
                <w:rFonts w:ascii="Arial" w:hAnsi="Arial" w:cs="Arial"/>
                <w:sz w:val="24"/>
                <w:szCs w:val="24"/>
              </w:rPr>
              <w:t>rephasement</w:t>
            </w:r>
            <w:proofErr w:type="spellEnd"/>
            <w:r w:rsidRPr="00483A1D">
              <w:rPr>
                <w:rFonts w:ascii="Arial" w:hAnsi="Arial" w:cs="Arial"/>
                <w:sz w:val="24"/>
                <w:szCs w:val="24"/>
              </w:rPr>
              <w:t>/ restructuring   duly signed by the Borrowers and all the Guarantors.</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iv</w:t>
            </w:r>
          </w:p>
        </w:tc>
        <w:tc>
          <w:tcPr>
            <w:tcW w:w="6636" w:type="dxa"/>
          </w:tcPr>
          <w:p w:rsidR="00A55EAB" w:rsidRPr="00483A1D" w:rsidRDefault="00A55EAB" w:rsidP="00C14220">
            <w:pPr>
              <w:jc w:val="both"/>
              <w:rPr>
                <w:rFonts w:ascii="Arial" w:hAnsi="Arial" w:cs="Arial"/>
                <w:sz w:val="24"/>
                <w:szCs w:val="24"/>
              </w:rPr>
            </w:pPr>
            <w:r w:rsidRPr="00483A1D">
              <w:rPr>
                <w:rFonts w:ascii="Arial" w:hAnsi="Arial" w:cs="Arial"/>
                <w:sz w:val="24"/>
                <w:szCs w:val="24"/>
              </w:rPr>
              <w:t>Stamped affidavit to be obtained from the Borrower(s) to repay the monthly instalments as per repayment schedule accepted by the Borrowers/ Guarantors and undertaking to authorize Bank to initiate all recovery processes including auction of mortgaged properties in case of any default.</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v</w:t>
            </w:r>
          </w:p>
        </w:tc>
        <w:tc>
          <w:tcPr>
            <w:tcW w:w="6636" w:type="dxa"/>
          </w:tcPr>
          <w:p w:rsidR="00A55EAB" w:rsidRPr="00483A1D" w:rsidRDefault="00A55EAB" w:rsidP="00C14220">
            <w:pPr>
              <w:pStyle w:val="Default"/>
              <w:jc w:val="both"/>
              <w:rPr>
                <w:rFonts w:ascii="Arial" w:hAnsi="Arial" w:cs="Arial"/>
                <w:color w:val="auto"/>
              </w:rPr>
            </w:pPr>
            <w:r w:rsidRPr="00483A1D">
              <w:rPr>
                <w:rFonts w:ascii="Arial" w:hAnsi="Arial" w:cs="Arial"/>
                <w:color w:val="auto"/>
              </w:rPr>
              <w:t>Balance Confirmation as on the date of</w:t>
            </w:r>
            <w:r>
              <w:rPr>
                <w:rFonts w:ascii="Arial" w:hAnsi="Arial" w:cs="Arial"/>
                <w:color w:val="auto"/>
              </w:rPr>
              <w:t xml:space="preserve"> implementation</w:t>
            </w:r>
            <w:r w:rsidRPr="00483A1D">
              <w:rPr>
                <w:rFonts w:ascii="Arial" w:hAnsi="Arial" w:cs="Arial"/>
                <w:color w:val="auto"/>
              </w:rPr>
              <w:t xml:space="preserve"> duly signed by all the Borrowers.</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vi</w:t>
            </w:r>
          </w:p>
        </w:tc>
        <w:tc>
          <w:tcPr>
            <w:tcW w:w="6636" w:type="dxa"/>
          </w:tcPr>
          <w:p w:rsidR="00A55EAB" w:rsidRPr="00483A1D" w:rsidRDefault="00A55EAB" w:rsidP="00C14220">
            <w:pPr>
              <w:pStyle w:val="Default"/>
              <w:jc w:val="both"/>
              <w:rPr>
                <w:rFonts w:ascii="Arial" w:hAnsi="Arial" w:cs="Arial"/>
                <w:color w:val="auto"/>
              </w:rPr>
            </w:pPr>
            <w:r w:rsidRPr="00483A1D">
              <w:rPr>
                <w:rFonts w:ascii="Arial" w:hAnsi="Arial" w:cs="Arial"/>
                <w:color w:val="auto"/>
              </w:rPr>
              <w:t>Revised repayment schedule to be generated and duly accepted by the Borrowers and Guarantors.</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p>
        </w:tc>
        <w:tc>
          <w:tcPr>
            <w:tcW w:w="6636" w:type="dxa"/>
          </w:tcPr>
          <w:p w:rsidR="00A55EAB" w:rsidRPr="00483A1D" w:rsidRDefault="00A55EAB" w:rsidP="00C14220">
            <w:pPr>
              <w:jc w:val="both"/>
              <w:rPr>
                <w:rFonts w:ascii="Arial" w:hAnsi="Arial" w:cs="Arial"/>
                <w:sz w:val="24"/>
                <w:szCs w:val="24"/>
              </w:rPr>
            </w:pPr>
          </w:p>
        </w:tc>
      </w:tr>
      <w:tr w:rsidR="00A55EAB" w:rsidRPr="00483A1D" w:rsidTr="00F23118">
        <w:tc>
          <w:tcPr>
            <w:tcW w:w="556" w:type="dxa"/>
          </w:tcPr>
          <w:p w:rsidR="00A55EAB" w:rsidRPr="00442BCD" w:rsidRDefault="00A55EAB" w:rsidP="00C14220">
            <w:pPr>
              <w:rPr>
                <w:rFonts w:ascii="Arial" w:hAnsi="Arial" w:cs="Arial"/>
                <w:b/>
                <w:bCs/>
                <w:sz w:val="24"/>
                <w:szCs w:val="24"/>
              </w:rPr>
            </w:pPr>
            <w:r>
              <w:rPr>
                <w:rFonts w:ascii="Arial" w:hAnsi="Arial" w:cs="Arial"/>
                <w:b/>
                <w:bCs/>
                <w:sz w:val="24"/>
                <w:szCs w:val="24"/>
              </w:rPr>
              <w:lastRenderedPageBreak/>
              <w:t>9</w:t>
            </w:r>
          </w:p>
        </w:tc>
        <w:tc>
          <w:tcPr>
            <w:tcW w:w="2230" w:type="dxa"/>
          </w:tcPr>
          <w:p w:rsidR="00A55EAB" w:rsidRPr="00483A1D" w:rsidRDefault="00A55EAB" w:rsidP="00C14220">
            <w:pPr>
              <w:rPr>
                <w:rFonts w:ascii="Arial" w:hAnsi="Arial" w:cs="Arial"/>
                <w:b/>
                <w:bCs/>
                <w:sz w:val="24"/>
                <w:szCs w:val="24"/>
              </w:rPr>
            </w:pPr>
            <w:r w:rsidRPr="00483A1D">
              <w:rPr>
                <w:rFonts w:ascii="Arial" w:hAnsi="Arial" w:cs="Arial"/>
                <w:b/>
                <w:bCs/>
                <w:sz w:val="24"/>
                <w:szCs w:val="24"/>
              </w:rPr>
              <w:t>ASSETS CLASSIFICATION NORMS</w:t>
            </w:r>
          </w:p>
        </w:tc>
        <w:tc>
          <w:tcPr>
            <w:tcW w:w="496" w:type="dxa"/>
          </w:tcPr>
          <w:p w:rsidR="00A55EAB" w:rsidRPr="00483A1D" w:rsidRDefault="00A55EAB" w:rsidP="00C14220">
            <w:pPr>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p>
        </w:tc>
        <w:tc>
          <w:tcPr>
            <w:tcW w:w="6636" w:type="dxa"/>
          </w:tcPr>
          <w:p w:rsidR="00A55EAB" w:rsidRPr="00483A1D" w:rsidRDefault="00A55EAB" w:rsidP="00C14220">
            <w:pPr>
              <w:jc w:val="both"/>
              <w:rPr>
                <w:rFonts w:ascii="Arial" w:hAnsi="Arial" w:cs="Arial"/>
                <w:sz w:val="24"/>
                <w:szCs w:val="24"/>
              </w:rPr>
            </w:pPr>
            <w:r>
              <w:rPr>
                <w:rFonts w:ascii="Arial" w:hAnsi="Arial" w:cs="Arial"/>
                <w:sz w:val="24"/>
                <w:szCs w:val="24"/>
              </w:rPr>
              <w:t>The Assets classification of the borrower account will be retained as Standard.</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r>
              <w:rPr>
                <w:rFonts w:ascii="Arial" w:hAnsi="Arial" w:cs="Arial"/>
                <w:sz w:val="24"/>
                <w:szCs w:val="24"/>
              </w:rPr>
              <w:t>ii</w:t>
            </w:r>
          </w:p>
        </w:tc>
        <w:tc>
          <w:tcPr>
            <w:tcW w:w="6636" w:type="dxa"/>
          </w:tcPr>
          <w:p w:rsidR="00A55EAB" w:rsidRPr="00483A1D" w:rsidRDefault="00A55EAB" w:rsidP="00C14220">
            <w:pPr>
              <w:pStyle w:val="Default"/>
              <w:jc w:val="both"/>
              <w:rPr>
                <w:rFonts w:ascii="Arial" w:hAnsi="Arial" w:cs="Arial"/>
                <w:color w:val="auto"/>
              </w:rPr>
            </w:pPr>
            <w:r>
              <w:rPr>
                <w:rFonts w:ascii="Arial" w:hAnsi="Arial" w:cs="Arial"/>
                <w:color w:val="auto"/>
              </w:rPr>
              <w:t>The subsequent asset classification will be governed as per usual IRAC norms.</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jc w:val="both"/>
              <w:rPr>
                <w:rFonts w:ascii="Arial" w:hAnsi="Arial" w:cs="Arial"/>
                <w:sz w:val="24"/>
                <w:szCs w:val="24"/>
              </w:rPr>
            </w:pPr>
            <w:r>
              <w:rPr>
                <w:rFonts w:ascii="Arial" w:hAnsi="Arial" w:cs="Arial"/>
                <w:sz w:val="24"/>
                <w:szCs w:val="24"/>
              </w:rPr>
              <w:t>iii</w:t>
            </w:r>
          </w:p>
        </w:tc>
        <w:tc>
          <w:tcPr>
            <w:tcW w:w="6636" w:type="dxa"/>
          </w:tcPr>
          <w:p w:rsidR="00A55EAB" w:rsidRPr="00483A1D" w:rsidRDefault="00A55EAB" w:rsidP="00C14220">
            <w:pPr>
              <w:jc w:val="both"/>
              <w:rPr>
                <w:rFonts w:ascii="Arial" w:hAnsi="Arial" w:cs="Arial"/>
                <w:sz w:val="24"/>
                <w:szCs w:val="24"/>
              </w:rPr>
            </w:pPr>
            <w:r>
              <w:rPr>
                <w:rFonts w:ascii="Arial" w:hAnsi="Arial" w:cs="Arial"/>
                <w:sz w:val="24"/>
                <w:szCs w:val="24"/>
              </w:rPr>
              <w:t>Where the borrower account which may have slipped into NPA between invocation and implementation may be upgraded as Standard as on the date of implementation of resolution plan.</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jc w:val="both"/>
              <w:rPr>
                <w:rFonts w:ascii="Arial" w:hAnsi="Arial" w:cs="Arial"/>
                <w:sz w:val="24"/>
                <w:szCs w:val="24"/>
              </w:rPr>
            </w:pPr>
          </w:p>
        </w:tc>
        <w:tc>
          <w:tcPr>
            <w:tcW w:w="6636" w:type="dxa"/>
          </w:tcPr>
          <w:p w:rsidR="00A55EAB" w:rsidRPr="00483A1D" w:rsidRDefault="00A55EAB" w:rsidP="00C14220">
            <w:pPr>
              <w:pStyle w:val="Default"/>
              <w:jc w:val="both"/>
              <w:rPr>
                <w:rFonts w:ascii="Arial" w:hAnsi="Arial" w:cs="Arial"/>
                <w:color w:val="auto"/>
              </w:rPr>
            </w:pPr>
          </w:p>
        </w:tc>
      </w:tr>
      <w:tr w:rsidR="00A55EAB" w:rsidRPr="00483A1D" w:rsidTr="00F23118">
        <w:tc>
          <w:tcPr>
            <w:tcW w:w="556" w:type="dxa"/>
          </w:tcPr>
          <w:p w:rsidR="00A55EAB" w:rsidRDefault="00A55EAB" w:rsidP="00C14220">
            <w:pPr>
              <w:rPr>
                <w:rFonts w:ascii="Arial" w:hAnsi="Arial" w:cs="Arial"/>
                <w:b/>
                <w:bCs/>
                <w:sz w:val="24"/>
                <w:szCs w:val="24"/>
              </w:rPr>
            </w:pPr>
            <w:r>
              <w:rPr>
                <w:rFonts w:ascii="Arial" w:hAnsi="Arial" w:cs="Arial"/>
                <w:b/>
                <w:bCs/>
                <w:sz w:val="24"/>
                <w:szCs w:val="24"/>
              </w:rPr>
              <w:t>10</w:t>
            </w:r>
          </w:p>
        </w:tc>
        <w:tc>
          <w:tcPr>
            <w:tcW w:w="2230" w:type="dxa"/>
          </w:tcPr>
          <w:p w:rsidR="00A55EAB" w:rsidRDefault="00A55EAB" w:rsidP="00C14220">
            <w:pPr>
              <w:rPr>
                <w:rFonts w:ascii="Arial" w:hAnsi="Arial" w:cs="Arial"/>
                <w:b/>
                <w:bCs/>
                <w:sz w:val="24"/>
                <w:szCs w:val="24"/>
              </w:rPr>
            </w:pPr>
            <w:r>
              <w:rPr>
                <w:rFonts w:ascii="Arial" w:hAnsi="Arial" w:cs="Arial"/>
                <w:b/>
                <w:bCs/>
                <w:sz w:val="24"/>
                <w:szCs w:val="24"/>
              </w:rPr>
              <w:t>PROVISIONS</w:t>
            </w:r>
          </w:p>
        </w:tc>
        <w:tc>
          <w:tcPr>
            <w:tcW w:w="496" w:type="dxa"/>
          </w:tcPr>
          <w:p w:rsidR="00A55EAB" w:rsidRDefault="00A55EAB" w:rsidP="00C14220">
            <w:pPr>
              <w:rPr>
                <w:rFonts w:ascii="Arial" w:hAnsi="Arial" w:cs="Arial"/>
                <w:sz w:val="24"/>
                <w:szCs w:val="24"/>
              </w:rPr>
            </w:pPr>
            <w:proofErr w:type="spellStart"/>
            <w:r>
              <w:rPr>
                <w:rFonts w:ascii="Arial" w:hAnsi="Arial" w:cs="Arial"/>
                <w:sz w:val="24"/>
                <w:szCs w:val="24"/>
              </w:rPr>
              <w:t>i</w:t>
            </w:r>
            <w:proofErr w:type="spellEnd"/>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10% percent provisions of negotiated exposure from the date of implementation are required to be made.</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ii</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Half of the provision may be written back upon the borrower paying at least 20 percent of the residual debt without slipping into NPA post implementation plan and remaining half may be written back upon recovery of another 10 percent.</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iii</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In respect of exposure other than individual personal loans, the above provision shall not be written back before one year from the commencement of the first payment of interest or principal.</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p>
        </w:tc>
        <w:tc>
          <w:tcPr>
            <w:tcW w:w="6636" w:type="dxa"/>
          </w:tcPr>
          <w:p w:rsidR="00A55EAB" w:rsidRDefault="00A55EAB" w:rsidP="00C14220">
            <w:pPr>
              <w:pStyle w:val="Default"/>
              <w:jc w:val="both"/>
              <w:rPr>
                <w:rFonts w:ascii="Arial" w:hAnsi="Arial" w:cs="Arial"/>
                <w:color w:val="auto"/>
              </w:rPr>
            </w:pPr>
          </w:p>
        </w:tc>
      </w:tr>
      <w:tr w:rsidR="00A55EAB" w:rsidRPr="00483A1D" w:rsidTr="00F23118">
        <w:tc>
          <w:tcPr>
            <w:tcW w:w="556" w:type="dxa"/>
          </w:tcPr>
          <w:p w:rsidR="00A55EAB" w:rsidRDefault="00A55EAB" w:rsidP="00C14220">
            <w:pPr>
              <w:rPr>
                <w:rFonts w:ascii="Arial" w:hAnsi="Arial" w:cs="Arial"/>
                <w:b/>
                <w:bCs/>
                <w:sz w:val="24"/>
                <w:szCs w:val="24"/>
              </w:rPr>
            </w:pPr>
            <w:r>
              <w:rPr>
                <w:rFonts w:ascii="Arial" w:hAnsi="Arial" w:cs="Arial"/>
                <w:b/>
                <w:bCs/>
                <w:sz w:val="24"/>
                <w:szCs w:val="24"/>
              </w:rPr>
              <w:t>11</w:t>
            </w:r>
          </w:p>
        </w:tc>
        <w:tc>
          <w:tcPr>
            <w:tcW w:w="2230" w:type="dxa"/>
          </w:tcPr>
          <w:p w:rsidR="00A55EAB" w:rsidRDefault="00A55EAB" w:rsidP="00C14220">
            <w:pPr>
              <w:rPr>
                <w:rFonts w:ascii="Arial" w:hAnsi="Arial" w:cs="Arial"/>
                <w:b/>
                <w:bCs/>
                <w:sz w:val="24"/>
                <w:szCs w:val="24"/>
              </w:rPr>
            </w:pPr>
            <w:r>
              <w:rPr>
                <w:rFonts w:ascii="Arial" w:hAnsi="Arial" w:cs="Arial"/>
                <w:b/>
                <w:bCs/>
                <w:sz w:val="24"/>
                <w:szCs w:val="24"/>
              </w:rPr>
              <w:t>DISCLOSURE</w:t>
            </w:r>
          </w:p>
        </w:tc>
        <w:tc>
          <w:tcPr>
            <w:tcW w:w="496" w:type="dxa"/>
          </w:tcPr>
          <w:p w:rsidR="00A55EAB" w:rsidRDefault="00A55EAB" w:rsidP="00C14220">
            <w:pPr>
              <w:rPr>
                <w:rFonts w:ascii="Arial" w:hAnsi="Arial" w:cs="Arial"/>
                <w:sz w:val="24"/>
                <w:szCs w:val="24"/>
              </w:rPr>
            </w:pPr>
            <w:proofErr w:type="spellStart"/>
            <w:r>
              <w:rPr>
                <w:rFonts w:ascii="Arial" w:hAnsi="Arial" w:cs="Arial"/>
                <w:sz w:val="24"/>
                <w:szCs w:val="24"/>
              </w:rPr>
              <w:t>i</w:t>
            </w:r>
            <w:proofErr w:type="spellEnd"/>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 xml:space="preserve">The bank should disclose the information in financial statements as per the format prescribed in attached annexure. The disclosure should also be included in the continuous resolution framework under covid-19 (1.0) </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ii</w:t>
            </w: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The number of borrower accounts where modification were sanctioned in terms of the borrower already availed moratorium under earlier relief package by way of availing moratorium period should also be disclosed.</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p>
        </w:tc>
        <w:tc>
          <w:tcPr>
            <w:tcW w:w="6636" w:type="dxa"/>
          </w:tcPr>
          <w:p w:rsidR="00A55EAB" w:rsidRDefault="00A55EAB" w:rsidP="00C14220">
            <w:pPr>
              <w:pStyle w:val="Default"/>
              <w:jc w:val="both"/>
              <w:rPr>
                <w:rFonts w:ascii="Arial" w:hAnsi="Arial" w:cs="Arial"/>
                <w:color w:val="auto"/>
              </w:rPr>
            </w:pPr>
          </w:p>
        </w:tc>
      </w:tr>
      <w:tr w:rsidR="00A55EAB" w:rsidRPr="00483A1D" w:rsidTr="00F23118">
        <w:tc>
          <w:tcPr>
            <w:tcW w:w="556" w:type="dxa"/>
          </w:tcPr>
          <w:p w:rsidR="00A55EAB" w:rsidRDefault="00A55EAB" w:rsidP="00C14220">
            <w:pPr>
              <w:rPr>
                <w:rFonts w:ascii="Arial" w:hAnsi="Arial" w:cs="Arial"/>
                <w:b/>
                <w:bCs/>
                <w:sz w:val="24"/>
                <w:szCs w:val="24"/>
              </w:rPr>
            </w:pPr>
            <w:r>
              <w:rPr>
                <w:rFonts w:ascii="Arial" w:hAnsi="Arial" w:cs="Arial"/>
                <w:b/>
                <w:bCs/>
                <w:sz w:val="24"/>
                <w:szCs w:val="24"/>
              </w:rPr>
              <w:t>12</w:t>
            </w:r>
          </w:p>
        </w:tc>
        <w:tc>
          <w:tcPr>
            <w:tcW w:w="2230" w:type="dxa"/>
          </w:tcPr>
          <w:p w:rsidR="00A55EAB" w:rsidRDefault="00A55EAB" w:rsidP="00C14220">
            <w:pPr>
              <w:rPr>
                <w:rFonts w:ascii="Arial" w:hAnsi="Arial" w:cs="Arial"/>
                <w:b/>
                <w:bCs/>
                <w:sz w:val="24"/>
                <w:szCs w:val="24"/>
              </w:rPr>
            </w:pPr>
            <w:r>
              <w:rPr>
                <w:rFonts w:ascii="Arial" w:hAnsi="Arial" w:cs="Arial"/>
                <w:b/>
                <w:bCs/>
                <w:sz w:val="24"/>
                <w:szCs w:val="24"/>
              </w:rPr>
              <w:t>CREDIT REPORTING</w:t>
            </w:r>
          </w:p>
        </w:tc>
        <w:tc>
          <w:tcPr>
            <w:tcW w:w="496" w:type="dxa"/>
          </w:tcPr>
          <w:p w:rsidR="00A55EAB" w:rsidRDefault="00A55EAB" w:rsidP="00C14220">
            <w:pPr>
              <w:rPr>
                <w:rFonts w:ascii="Arial" w:hAnsi="Arial" w:cs="Arial"/>
                <w:sz w:val="24"/>
                <w:szCs w:val="24"/>
              </w:rPr>
            </w:pPr>
          </w:p>
        </w:tc>
        <w:tc>
          <w:tcPr>
            <w:tcW w:w="6636" w:type="dxa"/>
          </w:tcPr>
          <w:p w:rsidR="00A55EAB" w:rsidRDefault="00A55EAB" w:rsidP="00C14220">
            <w:pPr>
              <w:pStyle w:val="Default"/>
              <w:jc w:val="both"/>
              <w:rPr>
                <w:rFonts w:ascii="Arial" w:hAnsi="Arial" w:cs="Arial"/>
                <w:color w:val="auto"/>
              </w:rPr>
            </w:pPr>
            <w:r>
              <w:rPr>
                <w:rFonts w:ascii="Arial" w:hAnsi="Arial" w:cs="Arial"/>
                <w:color w:val="auto"/>
              </w:rPr>
              <w:t>The bank should reflect the accounts “restructured due to Covid-19 status of the account.” While reporting of credit data.</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p>
        </w:tc>
        <w:tc>
          <w:tcPr>
            <w:tcW w:w="6636" w:type="dxa"/>
          </w:tcPr>
          <w:p w:rsidR="00A55EAB" w:rsidRDefault="00A55EAB" w:rsidP="00C14220">
            <w:pPr>
              <w:pStyle w:val="Default"/>
              <w:jc w:val="both"/>
              <w:rPr>
                <w:rFonts w:ascii="Arial" w:hAnsi="Arial" w:cs="Arial"/>
                <w:color w:val="auto"/>
              </w:rPr>
            </w:pPr>
          </w:p>
        </w:tc>
      </w:tr>
      <w:tr w:rsidR="00A55EAB" w:rsidRPr="00483A1D" w:rsidTr="00F23118">
        <w:tc>
          <w:tcPr>
            <w:tcW w:w="556" w:type="dxa"/>
          </w:tcPr>
          <w:p w:rsidR="00A55EAB" w:rsidRDefault="00A55EAB" w:rsidP="00C14220">
            <w:pPr>
              <w:rPr>
                <w:rFonts w:ascii="Arial" w:hAnsi="Arial" w:cs="Arial"/>
                <w:b/>
                <w:bCs/>
                <w:sz w:val="24"/>
                <w:szCs w:val="24"/>
              </w:rPr>
            </w:pPr>
            <w:r>
              <w:rPr>
                <w:rFonts w:ascii="Arial" w:hAnsi="Arial" w:cs="Arial"/>
                <w:b/>
                <w:bCs/>
                <w:sz w:val="24"/>
                <w:szCs w:val="24"/>
              </w:rPr>
              <w:t>13</w:t>
            </w:r>
          </w:p>
        </w:tc>
        <w:tc>
          <w:tcPr>
            <w:tcW w:w="2230" w:type="dxa"/>
          </w:tcPr>
          <w:p w:rsidR="00A55EAB" w:rsidRPr="00483A1D" w:rsidRDefault="00A55EAB" w:rsidP="00C14220">
            <w:pPr>
              <w:rPr>
                <w:rFonts w:ascii="Arial" w:hAnsi="Arial" w:cs="Arial"/>
                <w:b/>
                <w:bCs/>
                <w:sz w:val="24"/>
                <w:szCs w:val="24"/>
              </w:rPr>
            </w:pPr>
            <w:r w:rsidRPr="00483A1D">
              <w:rPr>
                <w:rFonts w:ascii="Arial" w:hAnsi="Arial" w:cs="Arial"/>
                <w:b/>
                <w:bCs/>
                <w:sz w:val="24"/>
                <w:szCs w:val="24"/>
              </w:rPr>
              <w:t>RATE OF INTEREST</w:t>
            </w:r>
          </w:p>
        </w:tc>
        <w:tc>
          <w:tcPr>
            <w:tcW w:w="496" w:type="dxa"/>
          </w:tcPr>
          <w:p w:rsidR="00A55EAB" w:rsidRDefault="00A55EAB" w:rsidP="00C14220">
            <w:pPr>
              <w:rPr>
                <w:rFonts w:ascii="Arial" w:hAnsi="Arial" w:cs="Arial"/>
                <w:sz w:val="24"/>
                <w:szCs w:val="24"/>
              </w:rPr>
            </w:pPr>
          </w:p>
        </w:tc>
        <w:tc>
          <w:tcPr>
            <w:tcW w:w="6636" w:type="dxa"/>
          </w:tcPr>
          <w:p w:rsidR="00A55EAB" w:rsidRPr="00483A1D" w:rsidRDefault="00A55EAB" w:rsidP="00C14220">
            <w:pPr>
              <w:pStyle w:val="Default"/>
              <w:jc w:val="both"/>
              <w:rPr>
                <w:rFonts w:ascii="Arial" w:hAnsi="Arial" w:cs="Arial"/>
                <w:color w:val="auto"/>
              </w:rPr>
            </w:pPr>
            <w:r w:rsidRPr="00483A1D">
              <w:rPr>
                <w:rFonts w:ascii="Arial" w:hAnsi="Arial" w:cs="Arial"/>
                <w:color w:val="auto"/>
              </w:rPr>
              <w:t xml:space="preserve">Interest rate as originally contracted, may be continued even if the loan tenor gets extended due to </w:t>
            </w:r>
            <w:proofErr w:type="spellStart"/>
            <w:r w:rsidRPr="00483A1D">
              <w:rPr>
                <w:rFonts w:ascii="Arial" w:hAnsi="Arial" w:cs="Arial"/>
                <w:color w:val="auto"/>
              </w:rPr>
              <w:t>rephasement</w:t>
            </w:r>
            <w:proofErr w:type="spellEnd"/>
            <w:r>
              <w:rPr>
                <w:rFonts w:ascii="Arial" w:hAnsi="Arial" w:cs="Arial"/>
                <w:color w:val="auto"/>
              </w:rPr>
              <w:t>/ restructuring</w:t>
            </w:r>
            <w:r w:rsidRPr="00483A1D">
              <w:rPr>
                <w:rFonts w:ascii="Arial" w:hAnsi="Arial" w:cs="Arial"/>
                <w:color w:val="auto"/>
              </w:rPr>
              <w:t>.</w:t>
            </w:r>
          </w:p>
        </w:tc>
      </w:tr>
      <w:tr w:rsidR="00A55EAB" w:rsidRPr="00483A1D" w:rsidTr="00F23118">
        <w:tc>
          <w:tcPr>
            <w:tcW w:w="556" w:type="dxa"/>
          </w:tcPr>
          <w:p w:rsidR="00A55EAB"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p>
        </w:tc>
        <w:tc>
          <w:tcPr>
            <w:tcW w:w="6636" w:type="dxa"/>
          </w:tcPr>
          <w:p w:rsidR="00A55EAB" w:rsidRPr="00483A1D" w:rsidRDefault="00A55EAB" w:rsidP="00C14220">
            <w:pPr>
              <w:pStyle w:val="Default"/>
              <w:jc w:val="both"/>
              <w:rPr>
                <w:rFonts w:ascii="Arial" w:hAnsi="Arial" w:cs="Arial"/>
                <w:color w:val="auto"/>
              </w:rPr>
            </w:pPr>
          </w:p>
        </w:tc>
      </w:tr>
      <w:tr w:rsidR="00A55EAB" w:rsidRPr="00483A1D" w:rsidTr="00F23118">
        <w:tc>
          <w:tcPr>
            <w:tcW w:w="556" w:type="dxa"/>
          </w:tcPr>
          <w:p w:rsidR="00A55EAB" w:rsidRPr="00442BCD" w:rsidRDefault="00A55EAB" w:rsidP="00C14220">
            <w:pPr>
              <w:rPr>
                <w:rFonts w:ascii="Arial" w:hAnsi="Arial" w:cs="Arial"/>
                <w:b/>
                <w:bCs/>
                <w:sz w:val="24"/>
                <w:szCs w:val="24"/>
              </w:rPr>
            </w:pPr>
            <w:r>
              <w:rPr>
                <w:rFonts w:ascii="Arial" w:hAnsi="Arial" w:cs="Arial"/>
                <w:b/>
                <w:bCs/>
                <w:sz w:val="24"/>
                <w:szCs w:val="24"/>
              </w:rPr>
              <w:t>14</w:t>
            </w:r>
          </w:p>
        </w:tc>
        <w:tc>
          <w:tcPr>
            <w:tcW w:w="2230" w:type="dxa"/>
          </w:tcPr>
          <w:p w:rsidR="00A55EAB" w:rsidRPr="00483A1D" w:rsidRDefault="00A55EAB" w:rsidP="00C14220">
            <w:pPr>
              <w:rPr>
                <w:rFonts w:ascii="Arial" w:hAnsi="Arial" w:cs="Arial"/>
                <w:b/>
                <w:bCs/>
                <w:sz w:val="24"/>
                <w:szCs w:val="24"/>
              </w:rPr>
            </w:pPr>
            <w:r w:rsidRPr="00483A1D">
              <w:rPr>
                <w:rFonts w:ascii="Arial" w:hAnsi="Arial" w:cs="Arial"/>
                <w:b/>
                <w:bCs/>
                <w:sz w:val="24"/>
                <w:szCs w:val="24"/>
              </w:rPr>
              <w:t>SECURITY</w:t>
            </w:r>
          </w:p>
        </w:tc>
        <w:tc>
          <w:tcPr>
            <w:tcW w:w="496" w:type="dxa"/>
          </w:tcPr>
          <w:p w:rsidR="00A55EAB" w:rsidRPr="00483A1D" w:rsidRDefault="00A55EAB" w:rsidP="00C14220">
            <w:pPr>
              <w:rPr>
                <w:rFonts w:ascii="Arial" w:hAnsi="Arial" w:cs="Arial"/>
                <w:sz w:val="24"/>
                <w:szCs w:val="24"/>
              </w:rPr>
            </w:pPr>
          </w:p>
        </w:tc>
        <w:tc>
          <w:tcPr>
            <w:tcW w:w="6636" w:type="dxa"/>
          </w:tcPr>
          <w:p w:rsidR="00A55EAB" w:rsidRPr="00483A1D" w:rsidRDefault="00A55EAB" w:rsidP="00C14220">
            <w:pPr>
              <w:pStyle w:val="Default"/>
              <w:jc w:val="both"/>
              <w:rPr>
                <w:rFonts w:ascii="Arial" w:hAnsi="Arial" w:cs="Arial"/>
                <w:color w:val="auto"/>
              </w:rPr>
            </w:pPr>
            <w:r>
              <w:rPr>
                <w:rFonts w:ascii="Arial" w:hAnsi="Arial" w:cs="Arial"/>
                <w:color w:val="auto"/>
              </w:rPr>
              <w:t>The loan will continue be secured by the existing primary and collateral security.</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p>
        </w:tc>
        <w:tc>
          <w:tcPr>
            <w:tcW w:w="6636" w:type="dxa"/>
          </w:tcPr>
          <w:p w:rsidR="00A55EAB" w:rsidRPr="00483A1D" w:rsidRDefault="00A55EAB" w:rsidP="00C14220">
            <w:pPr>
              <w:jc w:val="both"/>
              <w:rPr>
                <w:rFonts w:ascii="Arial" w:hAnsi="Arial" w:cs="Arial"/>
                <w:sz w:val="24"/>
                <w:szCs w:val="24"/>
              </w:rPr>
            </w:pPr>
          </w:p>
        </w:tc>
      </w:tr>
      <w:tr w:rsidR="00A55EAB" w:rsidRPr="00483A1D" w:rsidTr="00F23118">
        <w:tc>
          <w:tcPr>
            <w:tcW w:w="556" w:type="dxa"/>
          </w:tcPr>
          <w:p w:rsidR="00A55EAB" w:rsidRPr="00442BCD" w:rsidRDefault="00A55EAB" w:rsidP="00C14220">
            <w:pPr>
              <w:rPr>
                <w:rFonts w:ascii="Arial" w:hAnsi="Arial" w:cs="Arial"/>
                <w:b/>
                <w:bCs/>
                <w:sz w:val="24"/>
                <w:szCs w:val="24"/>
              </w:rPr>
            </w:pPr>
            <w:r>
              <w:rPr>
                <w:rFonts w:ascii="Arial" w:hAnsi="Arial" w:cs="Arial"/>
                <w:b/>
                <w:bCs/>
                <w:sz w:val="24"/>
                <w:szCs w:val="24"/>
              </w:rPr>
              <w:t>15</w:t>
            </w:r>
          </w:p>
        </w:tc>
        <w:tc>
          <w:tcPr>
            <w:tcW w:w="2230" w:type="dxa"/>
          </w:tcPr>
          <w:p w:rsidR="00A55EAB" w:rsidRPr="00483A1D" w:rsidRDefault="00A55EAB" w:rsidP="00C14220">
            <w:pPr>
              <w:rPr>
                <w:rFonts w:ascii="Arial" w:hAnsi="Arial" w:cs="Arial"/>
                <w:b/>
                <w:bCs/>
                <w:sz w:val="24"/>
                <w:szCs w:val="24"/>
              </w:rPr>
            </w:pPr>
            <w:r>
              <w:rPr>
                <w:rFonts w:ascii="Arial" w:hAnsi="Arial" w:cs="Arial"/>
                <w:b/>
                <w:bCs/>
                <w:sz w:val="24"/>
                <w:szCs w:val="24"/>
              </w:rPr>
              <w:t>ADDITIONAL NORMS APPLICABLE FOR MSMEs</w:t>
            </w:r>
          </w:p>
        </w:tc>
        <w:tc>
          <w:tcPr>
            <w:tcW w:w="496" w:type="dxa"/>
          </w:tcPr>
          <w:p w:rsidR="00A55EAB" w:rsidRPr="00483A1D" w:rsidRDefault="00A55EAB" w:rsidP="00C14220">
            <w:pPr>
              <w:rPr>
                <w:rFonts w:ascii="Arial" w:hAnsi="Arial" w:cs="Arial"/>
                <w:sz w:val="24"/>
                <w:szCs w:val="24"/>
              </w:rPr>
            </w:pPr>
            <w:proofErr w:type="spellStart"/>
            <w:r>
              <w:rPr>
                <w:rFonts w:ascii="Arial" w:hAnsi="Arial" w:cs="Arial"/>
                <w:sz w:val="24"/>
                <w:szCs w:val="24"/>
              </w:rPr>
              <w:t>i</w:t>
            </w:r>
            <w:proofErr w:type="spellEnd"/>
          </w:p>
        </w:tc>
        <w:tc>
          <w:tcPr>
            <w:tcW w:w="6636" w:type="dxa"/>
          </w:tcPr>
          <w:p w:rsidR="00A55EAB" w:rsidRPr="00483A1D" w:rsidRDefault="00A55EAB" w:rsidP="00C14220">
            <w:pPr>
              <w:jc w:val="both"/>
              <w:rPr>
                <w:rFonts w:ascii="Arial" w:hAnsi="Arial" w:cs="Arial"/>
                <w:sz w:val="24"/>
                <w:szCs w:val="24"/>
              </w:rPr>
            </w:pPr>
            <w:r>
              <w:rPr>
                <w:rFonts w:ascii="Arial" w:hAnsi="Arial" w:cs="Arial"/>
                <w:sz w:val="24"/>
                <w:szCs w:val="24"/>
              </w:rPr>
              <w:t>Restructuring of existing loan without a downgrade in the asset classification is subject to the following conditions.</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r>
              <w:rPr>
                <w:rFonts w:ascii="Arial" w:hAnsi="Arial" w:cs="Arial"/>
                <w:sz w:val="24"/>
                <w:szCs w:val="24"/>
              </w:rPr>
              <w:t>ii</w:t>
            </w:r>
          </w:p>
        </w:tc>
        <w:tc>
          <w:tcPr>
            <w:tcW w:w="6636" w:type="dxa"/>
          </w:tcPr>
          <w:p w:rsidR="00A55EAB" w:rsidRPr="00483A1D" w:rsidRDefault="00A55EAB" w:rsidP="00C14220">
            <w:pPr>
              <w:jc w:val="both"/>
              <w:rPr>
                <w:rFonts w:ascii="Arial" w:hAnsi="Arial" w:cs="Arial"/>
                <w:sz w:val="24"/>
                <w:szCs w:val="24"/>
              </w:rPr>
            </w:pPr>
            <w:r>
              <w:rPr>
                <w:rFonts w:ascii="Arial" w:hAnsi="Arial" w:cs="Arial"/>
                <w:sz w:val="24"/>
                <w:szCs w:val="24"/>
              </w:rPr>
              <w:t>The borrower should be classified as a MSME as on 31.03.2021 in terms of gazette notification dated 26.06.2020.</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iii</w:t>
            </w:r>
          </w:p>
        </w:tc>
        <w:tc>
          <w:tcPr>
            <w:tcW w:w="6636" w:type="dxa"/>
          </w:tcPr>
          <w:p w:rsidR="00A55EAB" w:rsidRDefault="00A55EAB" w:rsidP="00C14220">
            <w:pPr>
              <w:jc w:val="both"/>
              <w:rPr>
                <w:rFonts w:ascii="Arial" w:hAnsi="Arial" w:cs="Arial"/>
                <w:sz w:val="24"/>
                <w:szCs w:val="24"/>
              </w:rPr>
            </w:pPr>
            <w:r>
              <w:rPr>
                <w:rFonts w:ascii="Arial" w:hAnsi="Arial" w:cs="Arial"/>
                <w:sz w:val="24"/>
                <w:szCs w:val="24"/>
              </w:rPr>
              <w:t>Borrowing unit is GST registered on the date of implementation of restructuring.</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iv</w:t>
            </w:r>
          </w:p>
        </w:tc>
        <w:tc>
          <w:tcPr>
            <w:tcW w:w="6636" w:type="dxa"/>
          </w:tcPr>
          <w:p w:rsidR="00A55EAB" w:rsidRDefault="00A55EAB" w:rsidP="00C14220">
            <w:pPr>
              <w:jc w:val="both"/>
              <w:rPr>
                <w:rFonts w:ascii="Arial" w:hAnsi="Arial" w:cs="Arial"/>
                <w:sz w:val="24"/>
                <w:szCs w:val="24"/>
              </w:rPr>
            </w:pPr>
            <w:r>
              <w:rPr>
                <w:rFonts w:ascii="Arial" w:hAnsi="Arial" w:cs="Arial"/>
                <w:sz w:val="24"/>
                <w:szCs w:val="24"/>
              </w:rPr>
              <w:t>GST condition will not apply to MSMEs that are exempt from GST registration. This shall be determined on the basis of exemptions limit obtaining as on 31.03.2021.</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v</w:t>
            </w:r>
          </w:p>
        </w:tc>
        <w:tc>
          <w:tcPr>
            <w:tcW w:w="6636" w:type="dxa"/>
          </w:tcPr>
          <w:p w:rsidR="00A55EAB" w:rsidRDefault="00A55EAB" w:rsidP="00C14220">
            <w:pPr>
              <w:jc w:val="both"/>
              <w:rPr>
                <w:rFonts w:ascii="Arial" w:hAnsi="Arial" w:cs="Arial"/>
                <w:sz w:val="24"/>
                <w:szCs w:val="24"/>
              </w:rPr>
            </w:pPr>
            <w:r>
              <w:rPr>
                <w:rFonts w:ascii="Arial" w:hAnsi="Arial" w:cs="Arial"/>
                <w:sz w:val="24"/>
                <w:szCs w:val="24"/>
              </w:rPr>
              <w:t>The borrower account was not restructured earlier.</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vi</w:t>
            </w:r>
          </w:p>
        </w:tc>
        <w:tc>
          <w:tcPr>
            <w:tcW w:w="6636" w:type="dxa"/>
          </w:tcPr>
          <w:p w:rsidR="00A55EAB" w:rsidRDefault="00A55EAB" w:rsidP="00C14220">
            <w:pPr>
              <w:jc w:val="both"/>
              <w:rPr>
                <w:rFonts w:ascii="Arial" w:hAnsi="Arial" w:cs="Arial"/>
                <w:sz w:val="24"/>
                <w:szCs w:val="24"/>
              </w:rPr>
            </w:pPr>
            <w:r>
              <w:rPr>
                <w:rFonts w:ascii="Arial" w:hAnsi="Arial" w:cs="Arial"/>
                <w:sz w:val="24"/>
                <w:szCs w:val="24"/>
              </w:rPr>
              <w:t>The restructuring of loan account is to be implemented within 90 days from the date of invocation.</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vii</w:t>
            </w:r>
          </w:p>
        </w:tc>
        <w:tc>
          <w:tcPr>
            <w:tcW w:w="6636" w:type="dxa"/>
          </w:tcPr>
          <w:p w:rsidR="00A55EAB" w:rsidRDefault="00A55EAB" w:rsidP="00C14220">
            <w:pPr>
              <w:jc w:val="both"/>
              <w:rPr>
                <w:rFonts w:ascii="Arial" w:hAnsi="Arial" w:cs="Arial"/>
                <w:sz w:val="24"/>
                <w:szCs w:val="24"/>
              </w:rPr>
            </w:pPr>
            <w:r>
              <w:rPr>
                <w:rFonts w:ascii="Arial" w:hAnsi="Arial" w:cs="Arial"/>
                <w:sz w:val="24"/>
                <w:szCs w:val="24"/>
              </w:rPr>
              <w:t xml:space="preserve">If the borrower is not registered in the </w:t>
            </w:r>
            <w:proofErr w:type="spellStart"/>
            <w:r>
              <w:rPr>
                <w:rFonts w:ascii="Arial" w:hAnsi="Arial" w:cs="Arial"/>
                <w:sz w:val="24"/>
                <w:szCs w:val="24"/>
              </w:rPr>
              <w:t>Udyam</w:t>
            </w:r>
            <w:proofErr w:type="spellEnd"/>
            <w:r>
              <w:rPr>
                <w:rFonts w:ascii="Arial" w:hAnsi="Arial" w:cs="Arial"/>
                <w:sz w:val="24"/>
                <w:szCs w:val="24"/>
              </w:rPr>
              <w:t xml:space="preserve"> Registration Portal, such registration shall be required to be completed before the date of implementation.</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Default="00A55EAB" w:rsidP="00C14220">
            <w:pPr>
              <w:rPr>
                <w:rFonts w:ascii="Arial" w:hAnsi="Arial" w:cs="Arial"/>
                <w:sz w:val="24"/>
                <w:szCs w:val="24"/>
              </w:rPr>
            </w:pPr>
            <w:r>
              <w:rPr>
                <w:rFonts w:ascii="Arial" w:hAnsi="Arial" w:cs="Arial"/>
                <w:sz w:val="24"/>
                <w:szCs w:val="24"/>
              </w:rPr>
              <w:t>viii</w:t>
            </w:r>
          </w:p>
        </w:tc>
        <w:tc>
          <w:tcPr>
            <w:tcW w:w="6636" w:type="dxa"/>
          </w:tcPr>
          <w:p w:rsidR="00A55EAB" w:rsidRDefault="00A55EAB" w:rsidP="00C14220">
            <w:pPr>
              <w:jc w:val="both"/>
              <w:rPr>
                <w:rFonts w:ascii="Arial" w:hAnsi="Arial" w:cs="Arial"/>
                <w:sz w:val="24"/>
                <w:szCs w:val="24"/>
              </w:rPr>
            </w:pPr>
            <w:r>
              <w:rPr>
                <w:rFonts w:ascii="Arial" w:hAnsi="Arial" w:cs="Arial"/>
                <w:sz w:val="24"/>
                <w:szCs w:val="24"/>
              </w:rPr>
              <w:t>All other instructions specified in circular dated 06.08.2020 shall remain applicable. (Cir No. 48)</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b/>
                <w:bCs/>
                <w:sz w:val="24"/>
                <w:szCs w:val="24"/>
              </w:rPr>
            </w:pPr>
          </w:p>
        </w:tc>
        <w:tc>
          <w:tcPr>
            <w:tcW w:w="496" w:type="dxa"/>
          </w:tcPr>
          <w:p w:rsidR="00A55EAB" w:rsidRPr="00483A1D" w:rsidRDefault="00A55EAB" w:rsidP="00C14220">
            <w:pPr>
              <w:rPr>
                <w:rFonts w:ascii="Arial" w:hAnsi="Arial" w:cs="Arial"/>
                <w:sz w:val="24"/>
                <w:szCs w:val="24"/>
              </w:rPr>
            </w:pPr>
          </w:p>
        </w:tc>
        <w:tc>
          <w:tcPr>
            <w:tcW w:w="6636" w:type="dxa"/>
          </w:tcPr>
          <w:p w:rsidR="00A55EAB" w:rsidRPr="00483A1D" w:rsidRDefault="00A55EAB" w:rsidP="00C14220">
            <w:pPr>
              <w:jc w:val="both"/>
              <w:rPr>
                <w:rFonts w:ascii="Arial" w:hAnsi="Arial" w:cs="Arial"/>
                <w:sz w:val="24"/>
                <w:szCs w:val="24"/>
              </w:rPr>
            </w:pPr>
          </w:p>
        </w:tc>
      </w:tr>
      <w:tr w:rsidR="00A55EAB" w:rsidRPr="00483A1D" w:rsidTr="00F23118">
        <w:tc>
          <w:tcPr>
            <w:tcW w:w="556" w:type="dxa"/>
          </w:tcPr>
          <w:p w:rsidR="00A55EAB" w:rsidRPr="00442BCD" w:rsidRDefault="00A55EAB" w:rsidP="00C14220">
            <w:pPr>
              <w:rPr>
                <w:rFonts w:ascii="Arial" w:hAnsi="Arial" w:cs="Arial"/>
                <w:b/>
                <w:bCs/>
                <w:sz w:val="24"/>
                <w:szCs w:val="24"/>
              </w:rPr>
            </w:pPr>
            <w:r w:rsidRPr="00442BCD">
              <w:rPr>
                <w:rFonts w:ascii="Arial" w:hAnsi="Arial" w:cs="Arial"/>
                <w:b/>
                <w:bCs/>
                <w:sz w:val="24"/>
                <w:szCs w:val="24"/>
              </w:rPr>
              <w:t>1</w:t>
            </w:r>
            <w:r>
              <w:rPr>
                <w:rFonts w:ascii="Arial" w:hAnsi="Arial" w:cs="Arial"/>
                <w:b/>
                <w:bCs/>
                <w:sz w:val="24"/>
                <w:szCs w:val="24"/>
              </w:rPr>
              <w:t>6</w:t>
            </w:r>
          </w:p>
        </w:tc>
        <w:tc>
          <w:tcPr>
            <w:tcW w:w="2230" w:type="dxa"/>
          </w:tcPr>
          <w:p w:rsidR="00A55EAB" w:rsidRPr="00483A1D" w:rsidRDefault="00A55EAB" w:rsidP="00C14220">
            <w:pPr>
              <w:rPr>
                <w:rFonts w:ascii="Arial" w:hAnsi="Arial" w:cs="Arial"/>
                <w:b/>
                <w:bCs/>
                <w:sz w:val="24"/>
                <w:szCs w:val="24"/>
              </w:rPr>
            </w:pPr>
            <w:r w:rsidRPr="00483A1D">
              <w:rPr>
                <w:rFonts w:ascii="Arial" w:hAnsi="Arial" w:cs="Arial"/>
                <w:b/>
                <w:bCs/>
                <w:sz w:val="24"/>
                <w:szCs w:val="24"/>
              </w:rPr>
              <w:t>PROCESS OF PROPOSAL</w:t>
            </w:r>
          </w:p>
        </w:tc>
        <w:tc>
          <w:tcPr>
            <w:tcW w:w="496" w:type="dxa"/>
          </w:tcPr>
          <w:p w:rsidR="00A55EAB" w:rsidRPr="00483A1D" w:rsidRDefault="00A55EAB" w:rsidP="00C14220">
            <w:pPr>
              <w:rPr>
                <w:rFonts w:ascii="Arial" w:hAnsi="Arial" w:cs="Arial"/>
                <w:sz w:val="24"/>
                <w:szCs w:val="24"/>
              </w:rPr>
            </w:pPr>
            <w:proofErr w:type="spellStart"/>
            <w:r w:rsidRPr="00483A1D">
              <w:rPr>
                <w:rFonts w:ascii="Arial" w:hAnsi="Arial" w:cs="Arial"/>
                <w:sz w:val="24"/>
                <w:szCs w:val="24"/>
              </w:rPr>
              <w:t>i</w:t>
            </w:r>
            <w:proofErr w:type="spellEnd"/>
          </w:p>
        </w:tc>
        <w:tc>
          <w:tcPr>
            <w:tcW w:w="6636" w:type="dxa"/>
          </w:tcPr>
          <w:p w:rsidR="00A55EAB" w:rsidRPr="00483A1D" w:rsidRDefault="00A55EAB" w:rsidP="00C14220">
            <w:pPr>
              <w:jc w:val="both"/>
              <w:rPr>
                <w:rFonts w:ascii="Arial" w:hAnsi="Arial" w:cs="Arial"/>
                <w:sz w:val="24"/>
                <w:szCs w:val="24"/>
              </w:rPr>
            </w:pPr>
            <w:r>
              <w:rPr>
                <w:rFonts w:ascii="Arial" w:hAnsi="Arial" w:cs="Arial"/>
                <w:sz w:val="24"/>
                <w:szCs w:val="24"/>
              </w:rPr>
              <w:t xml:space="preserve">The proposal </w:t>
            </w:r>
            <w:r w:rsidRPr="00483A1D">
              <w:rPr>
                <w:rFonts w:ascii="Arial" w:hAnsi="Arial" w:cs="Arial"/>
                <w:sz w:val="24"/>
                <w:szCs w:val="24"/>
              </w:rPr>
              <w:t>is to be submitted duly recommended by the BM</w:t>
            </w:r>
            <w:r>
              <w:rPr>
                <w:rFonts w:ascii="Arial" w:hAnsi="Arial" w:cs="Arial"/>
                <w:sz w:val="24"/>
                <w:szCs w:val="24"/>
              </w:rPr>
              <w:t>.</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sz w:val="24"/>
                <w:szCs w:val="24"/>
              </w:rPr>
            </w:pPr>
          </w:p>
        </w:tc>
        <w:tc>
          <w:tcPr>
            <w:tcW w:w="496" w:type="dxa"/>
          </w:tcPr>
          <w:p w:rsidR="00A55EAB" w:rsidRPr="00483A1D" w:rsidRDefault="00A55EAB" w:rsidP="00C14220">
            <w:pPr>
              <w:rPr>
                <w:rFonts w:ascii="Arial" w:hAnsi="Arial" w:cs="Arial"/>
                <w:sz w:val="24"/>
                <w:szCs w:val="24"/>
              </w:rPr>
            </w:pPr>
            <w:r w:rsidRPr="00483A1D">
              <w:rPr>
                <w:rFonts w:ascii="Arial" w:hAnsi="Arial" w:cs="Arial"/>
                <w:sz w:val="24"/>
                <w:szCs w:val="24"/>
              </w:rPr>
              <w:t>ii</w:t>
            </w:r>
          </w:p>
        </w:tc>
        <w:tc>
          <w:tcPr>
            <w:tcW w:w="6636" w:type="dxa"/>
          </w:tcPr>
          <w:p w:rsidR="00A55EAB" w:rsidRPr="00483A1D" w:rsidRDefault="00A55EAB" w:rsidP="00C14220">
            <w:pPr>
              <w:jc w:val="both"/>
              <w:rPr>
                <w:rFonts w:ascii="Arial" w:hAnsi="Arial" w:cs="Arial"/>
                <w:sz w:val="24"/>
                <w:szCs w:val="24"/>
              </w:rPr>
            </w:pPr>
            <w:r w:rsidRPr="00483A1D">
              <w:rPr>
                <w:rFonts w:ascii="Arial" w:hAnsi="Arial" w:cs="Arial"/>
                <w:sz w:val="24"/>
                <w:szCs w:val="24"/>
              </w:rPr>
              <w:t>Proposal duly recommended by CEO for approval by Loan Committee.</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sz w:val="24"/>
                <w:szCs w:val="24"/>
              </w:rPr>
            </w:pPr>
          </w:p>
        </w:tc>
        <w:tc>
          <w:tcPr>
            <w:tcW w:w="496" w:type="dxa"/>
          </w:tcPr>
          <w:p w:rsidR="00A55EAB" w:rsidRPr="00483A1D" w:rsidRDefault="00A55EAB" w:rsidP="00C14220">
            <w:pPr>
              <w:rPr>
                <w:rFonts w:ascii="Arial" w:hAnsi="Arial" w:cs="Arial"/>
                <w:sz w:val="24"/>
                <w:szCs w:val="24"/>
              </w:rPr>
            </w:pPr>
            <w:r w:rsidRPr="00483A1D">
              <w:rPr>
                <w:rFonts w:ascii="Arial" w:hAnsi="Arial" w:cs="Arial"/>
                <w:sz w:val="24"/>
                <w:szCs w:val="24"/>
              </w:rPr>
              <w:t>iii</w:t>
            </w:r>
          </w:p>
        </w:tc>
        <w:tc>
          <w:tcPr>
            <w:tcW w:w="6636" w:type="dxa"/>
          </w:tcPr>
          <w:p w:rsidR="00A55EAB" w:rsidRPr="00483A1D" w:rsidRDefault="00A55EAB" w:rsidP="00C14220">
            <w:pPr>
              <w:jc w:val="both"/>
              <w:rPr>
                <w:rFonts w:ascii="Arial" w:hAnsi="Arial" w:cs="Arial"/>
                <w:sz w:val="24"/>
                <w:szCs w:val="24"/>
              </w:rPr>
            </w:pPr>
            <w:r w:rsidRPr="00483A1D">
              <w:rPr>
                <w:rFonts w:ascii="Arial" w:hAnsi="Arial" w:cs="Arial"/>
                <w:sz w:val="24"/>
                <w:szCs w:val="24"/>
              </w:rPr>
              <w:t>Approval/ sanction by the Loan Committee.</w:t>
            </w:r>
          </w:p>
        </w:tc>
      </w:tr>
      <w:tr w:rsidR="00A55EAB" w:rsidRPr="00483A1D" w:rsidTr="00F23118">
        <w:tc>
          <w:tcPr>
            <w:tcW w:w="556" w:type="dxa"/>
          </w:tcPr>
          <w:p w:rsidR="00A55EAB" w:rsidRPr="00442BCD" w:rsidRDefault="00A55EAB" w:rsidP="00C14220">
            <w:pPr>
              <w:rPr>
                <w:rFonts w:ascii="Arial" w:hAnsi="Arial" w:cs="Arial"/>
                <w:b/>
                <w:bCs/>
                <w:sz w:val="24"/>
                <w:szCs w:val="24"/>
              </w:rPr>
            </w:pPr>
          </w:p>
        </w:tc>
        <w:tc>
          <w:tcPr>
            <w:tcW w:w="2230" w:type="dxa"/>
          </w:tcPr>
          <w:p w:rsidR="00A55EAB" w:rsidRPr="00483A1D" w:rsidRDefault="00A55EAB" w:rsidP="00C14220">
            <w:pPr>
              <w:rPr>
                <w:rFonts w:ascii="Arial" w:hAnsi="Arial" w:cs="Arial"/>
                <w:sz w:val="24"/>
                <w:szCs w:val="24"/>
              </w:rPr>
            </w:pPr>
          </w:p>
        </w:tc>
        <w:tc>
          <w:tcPr>
            <w:tcW w:w="496" w:type="dxa"/>
          </w:tcPr>
          <w:p w:rsidR="00A55EAB" w:rsidRPr="00483A1D" w:rsidRDefault="00A55EAB" w:rsidP="00C14220">
            <w:pPr>
              <w:rPr>
                <w:rFonts w:ascii="Arial" w:hAnsi="Arial" w:cs="Arial"/>
                <w:sz w:val="24"/>
                <w:szCs w:val="24"/>
              </w:rPr>
            </w:pPr>
            <w:r w:rsidRPr="00483A1D">
              <w:rPr>
                <w:rFonts w:ascii="Arial" w:hAnsi="Arial" w:cs="Arial"/>
                <w:sz w:val="24"/>
                <w:szCs w:val="24"/>
              </w:rPr>
              <w:t>iv</w:t>
            </w:r>
          </w:p>
        </w:tc>
        <w:tc>
          <w:tcPr>
            <w:tcW w:w="6636" w:type="dxa"/>
          </w:tcPr>
          <w:p w:rsidR="00A55EAB" w:rsidRPr="00483A1D" w:rsidRDefault="00A55EAB" w:rsidP="00C14220">
            <w:pPr>
              <w:jc w:val="both"/>
              <w:rPr>
                <w:rFonts w:ascii="Arial" w:hAnsi="Arial" w:cs="Arial"/>
                <w:sz w:val="24"/>
                <w:szCs w:val="24"/>
              </w:rPr>
            </w:pPr>
            <w:r w:rsidRPr="00483A1D">
              <w:rPr>
                <w:rFonts w:ascii="Arial" w:hAnsi="Arial" w:cs="Arial"/>
                <w:sz w:val="24"/>
                <w:szCs w:val="24"/>
              </w:rPr>
              <w:t>The framework of the policy is to be approved by the Board.</w:t>
            </w:r>
          </w:p>
        </w:tc>
      </w:tr>
    </w:tbl>
    <w:p w:rsidR="00A55EAB" w:rsidRDefault="00A55EAB" w:rsidP="00C14220">
      <w:pPr>
        <w:spacing w:after="0"/>
        <w:rPr>
          <w:highlight w:val="yellow"/>
        </w:rPr>
      </w:pPr>
    </w:p>
    <w:p w:rsidR="00A55EAB" w:rsidRDefault="00A55EAB" w:rsidP="00C14220">
      <w:pPr>
        <w:spacing w:after="0"/>
        <w:rPr>
          <w:highlight w:val="yellow"/>
        </w:rPr>
      </w:pPr>
    </w:p>
    <w:p w:rsidR="00A55EAB" w:rsidRDefault="00A55EAB" w:rsidP="00C14220">
      <w:pPr>
        <w:spacing w:after="0"/>
        <w:rPr>
          <w:highlight w:val="yellow"/>
        </w:rPr>
      </w:pPr>
    </w:p>
    <w:p w:rsidR="00A55EAB" w:rsidRDefault="00A55EAB" w:rsidP="00C14220">
      <w:pPr>
        <w:jc w:val="center"/>
      </w:pPr>
      <w:r w:rsidRPr="00624C83">
        <w:rPr>
          <w:b/>
          <w:bCs/>
        </w:rPr>
        <w:t>Format of disclosure to be made in the financial statement.</w:t>
      </w:r>
      <w:r>
        <w:t xml:space="preserve">               (</w:t>
      </w:r>
      <w:proofErr w:type="gramStart"/>
      <w:r>
        <w:t>ANNEXUR</w:t>
      </w:r>
      <w:r w:rsidR="00C14220">
        <w:t xml:space="preserve">E)   </w:t>
      </w:r>
      <w:proofErr w:type="gramEnd"/>
      <w:r w:rsidR="00C14220">
        <w:t xml:space="preserve">         </w:t>
      </w:r>
      <w:r>
        <w:t>(</w:t>
      </w:r>
      <w:proofErr w:type="spellStart"/>
      <w:r>
        <w:t>Rs</w:t>
      </w:r>
      <w:proofErr w:type="spellEnd"/>
      <w:r>
        <w:t>. In lacs)</w:t>
      </w:r>
    </w:p>
    <w:tbl>
      <w:tblPr>
        <w:tblStyle w:val="TableGrid"/>
        <w:tblW w:w="9776" w:type="dxa"/>
        <w:tblInd w:w="-5" w:type="dxa"/>
        <w:tblLayout w:type="fixed"/>
        <w:tblLook w:val="04A0" w:firstRow="1" w:lastRow="0" w:firstColumn="1" w:lastColumn="0" w:noHBand="0" w:noVBand="1"/>
      </w:tblPr>
      <w:tblGrid>
        <w:gridCol w:w="485"/>
        <w:gridCol w:w="5023"/>
        <w:gridCol w:w="1291"/>
        <w:gridCol w:w="1134"/>
        <w:gridCol w:w="993"/>
        <w:gridCol w:w="850"/>
      </w:tblGrid>
      <w:tr w:rsidR="00A55EAB" w:rsidTr="00C14220">
        <w:tc>
          <w:tcPr>
            <w:tcW w:w="485" w:type="dxa"/>
          </w:tcPr>
          <w:p w:rsidR="00A55EAB" w:rsidRDefault="00A55EAB" w:rsidP="00C14220">
            <w:r>
              <w:t>Sl.</w:t>
            </w:r>
          </w:p>
        </w:tc>
        <w:tc>
          <w:tcPr>
            <w:tcW w:w="5023" w:type="dxa"/>
          </w:tcPr>
          <w:p w:rsidR="00A55EAB" w:rsidRDefault="00A55EAB" w:rsidP="00C14220">
            <w:r>
              <w:t>Description</w:t>
            </w:r>
          </w:p>
        </w:tc>
        <w:tc>
          <w:tcPr>
            <w:tcW w:w="2425" w:type="dxa"/>
            <w:gridSpan w:val="2"/>
          </w:tcPr>
          <w:p w:rsidR="00A55EAB" w:rsidRDefault="00A55EAB" w:rsidP="00C14220">
            <w:r>
              <w:t>Individual Borrower</w:t>
            </w:r>
          </w:p>
        </w:tc>
        <w:tc>
          <w:tcPr>
            <w:tcW w:w="993" w:type="dxa"/>
          </w:tcPr>
          <w:p w:rsidR="00A55EAB" w:rsidRDefault="00A55EAB" w:rsidP="00C14220">
            <w:r>
              <w:t>Small Business</w:t>
            </w:r>
          </w:p>
        </w:tc>
        <w:tc>
          <w:tcPr>
            <w:tcW w:w="850" w:type="dxa"/>
          </w:tcPr>
          <w:p w:rsidR="00A55EAB" w:rsidRDefault="00A55EAB" w:rsidP="00C14220">
            <w:r>
              <w:t>MSME</w:t>
            </w:r>
          </w:p>
        </w:tc>
      </w:tr>
      <w:tr w:rsidR="00A55EAB" w:rsidTr="00C14220">
        <w:tc>
          <w:tcPr>
            <w:tcW w:w="485" w:type="dxa"/>
          </w:tcPr>
          <w:p w:rsidR="00A55EAB" w:rsidRDefault="00A55EAB" w:rsidP="00C14220"/>
        </w:tc>
        <w:tc>
          <w:tcPr>
            <w:tcW w:w="5023" w:type="dxa"/>
          </w:tcPr>
          <w:p w:rsidR="00A55EAB" w:rsidRDefault="00A55EAB" w:rsidP="00C14220"/>
        </w:tc>
        <w:tc>
          <w:tcPr>
            <w:tcW w:w="1291" w:type="dxa"/>
          </w:tcPr>
          <w:p w:rsidR="00A55EAB" w:rsidRDefault="00A55EAB" w:rsidP="00C14220">
            <w:r>
              <w:t>Personal Loans</w:t>
            </w:r>
          </w:p>
        </w:tc>
        <w:tc>
          <w:tcPr>
            <w:tcW w:w="1134" w:type="dxa"/>
          </w:tcPr>
          <w:p w:rsidR="00A55EAB" w:rsidRDefault="00A55EAB" w:rsidP="00C14220">
            <w:r>
              <w:t>Business Loan</w:t>
            </w:r>
          </w:p>
        </w:tc>
        <w:tc>
          <w:tcPr>
            <w:tcW w:w="993" w:type="dxa"/>
          </w:tcPr>
          <w:p w:rsidR="00A55EAB" w:rsidRDefault="00A55EAB" w:rsidP="00C14220"/>
        </w:tc>
        <w:tc>
          <w:tcPr>
            <w:tcW w:w="850" w:type="dxa"/>
          </w:tcPr>
          <w:p w:rsidR="00A55EAB" w:rsidRDefault="00A55EAB" w:rsidP="00C14220"/>
        </w:tc>
      </w:tr>
      <w:tr w:rsidR="00A55EAB" w:rsidTr="00C14220">
        <w:tc>
          <w:tcPr>
            <w:tcW w:w="485" w:type="dxa"/>
          </w:tcPr>
          <w:p w:rsidR="00A55EAB" w:rsidRDefault="00A55EAB" w:rsidP="00C14220">
            <w:r>
              <w:t>(A)</w:t>
            </w:r>
          </w:p>
        </w:tc>
        <w:tc>
          <w:tcPr>
            <w:tcW w:w="5023" w:type="dxa"/>
          </w:tcPr>
          <w:p w:rsidR="00A55EAB" w:rsidRDefault="00A55EAB" w:rsidP="00C14220">
            <w:r>
              <w:t>Number of requests received for invoking resolution process under Part A.</w:t>
            </w:r>
          </w:p>
        </w:tc>
        <w:tc>
          <w:tcPr>
            <w:tcW w:w="1291" w:type="dxa"/>
          </w:tcPr>
          <w:p w:rsidR="00A55EAB" w:rsidRDefault="00A55EAB" w:rsidP="00C14220"/>
        </w:tc>
        <w:tc>
          <w:tcPr>
            <w:tcW w:w="1134" w:type="dxa"/>
          </w:tcPr>
          <w:p w:rsidR="00A55EAB" w:rsidRDefault="00A55EAB" w:rsidP="00C14220"/>
        </w:tc>
        <w:tc>
          <w:tcPr>
            <w:tcW w:w="993" w:type="dxa"/>
          </w:tcPr>
          <w:p w:rsidR="00A55EAB" w:rsidRDefault="00A55EAB" w:rsidP="00C14220"/>
        </w:tc>
        <w:tc>
          <w:tcPr>
            <w:tcW w:w="850" w:type="dxa"/>
          </w:tcPr>
          <w:p w:rsidR="00A55EAB" w:rsidRDefault="00A55EAB" w:rsidP="00C14220"/>
        </w:tc>
      </w:tr>
      <w:tr w:rsidR="00A55EAB" w:rsidTr="00C14220">
        <w:tc>
          <w:tcPr>
            <w:tcW w:w="485" w:type="dxa"/>
          </w:tcPr>
          <w:p w:rsidR="00A55EAB" w:rsidRDefault="00A55EAB" w:rsidP="00C14220">
            <w:r>
              <w:t>(B)</w:t>
            </w:r>
          </w:p>
        </w:tc>
        <w:tc>
          <w:tcPr>
            <w:tcW w:w="5023" w:type="dxa"/>
          </w:tcPr>
          <w:p w:rsidR="00A55EAB" w:rsidRDefault="00A55EAB" w:rsidP="00C14220">
            <w:r>
              <w:t>Number of accounts where resolution plan has been implemented under this window.</w:t>
            </w:r>
          </w:p>
        </w:tc>
        <w:tc>
          <w:tcPr>
            <w:tcW w:w="1291" w:type="dxa"/>
          </w:tcPr>
          <w:p w:rsidR="00A55EAB" w:rsidRDefault="00A55EAB" w:rsidP="00C14220"/>
        </w:tc>
        <w:tc>
          <w:tcPr>
            <w:tcW w:w="1134" w:type="dxa"/>
          </w:tcPr>
          <w:p w:rsidR="00A55EAB" w:rsidRDefault="00A55EAB" w:rsidP="00C14220"/>
        </w:tc>
        <w:tc>
          <w:tcPr>
            <w:tcW w:w="993" w:type="dxa"/>
          </w:tcPr>
          <w:p w:rsidR="00A55EAB" w:rsidRDefault="00A55EAB" w:rsidP="00C14220"/>
        </w:tc>
        <w:tc>
          <w:tcPr>
            <w:tcW w:w="850" w:type="dxa"/>
          </w:tcPr>
          <w:p w:rsidR="00A55EAB" w:rsidRDefault="00A55EAB" w:rsidP="00C14220"/>
        </w:tc>
      </w:tr>
      <w:tr w:rsidR="00A55EAB" w:rsidTr="00C14220">
        <w:tc>
          <w:tcPr>
            <w:tcW w:w="485" w:type="dxa"/>
          </w:tcPr>
          <w:p w:rsidR="00A55EAB" w:rsidRDefault="00A55EAB" w:rsidP="00C14220">
            <w:r>
              <w:t>(C)</w:t>
            </w:r>
          </w:p>
        </w:tc>
        <w:tc>
          <w:tcPr>
            <w:tcW w:w="5023" w:type="dxa"/>
          </w:tcPr>
          <w:p w:rsidR="00A55EAB" w:rsidRDefault="00A55EAB" w:rsidP="00C14220">
            <w:r>
              <w:t>Exposure to the accounts mentioned at (B) before implementation of the plan.</w:t>
            </w:r>
          </w:p>
        </w:tc>
        <w:tc>
          <w:tcPr>
            <w:tcW w:w="1291" w:type="dxa"/>
          </w:tcPr>
          <w:p w:rsidR="00A55EAB" w:rsidRDefault="00A55EAB" w:rsidP="00C14220"/>
        </w:tc>
        <w:tc>
          <w:tcPr>
            <w:tcW w:w="1134" w:type="dxa"/>
          </w:tcPr>
          <w:p w:rsidR="00A55EAB" w:rsidRDefault="00A55EAB" w:rsidP="00C14220"/>
        </w:tc>
        <w:tc>
          <w:tcPr>
            <w:tcW w:w="993" w:type="dxa"/>
          </w:tcPr>
          <w:p w:rsidR="00A55EAB" w:rsidRDefault="00A55EAB" w:rsidP="00C14220"/>
        </w:tc>
        <w:tc>
          <w:tcPr>
            <w:tcW w:w="850" w:type="dxa"/>
          </w:tcPr>
          <w:p w:rsidR="00A55EAB" w:rsidRDefault="00A55EAB" w:rsidP="00C14220"/>
        </w:tc>
      </w:tr>
      <w:tr w:rsidR="00A55EAB" w:rsidTr="00C14220">
        <w:tc>
          <w:tcPr>
            <w:tcW w:w="485" w:type="dxa"/>
          </w:tcPr>
          <w:p w:rsidR="00A55EAB" w:rsidRDefault="00A55EAB" w:rsidP="00C14220">
            <w:r>
              <w:t>(D)</w:t>
            </w:r>
          </w:p>
        </w:tc>
        <w:tc>
          <w:tcPr>
            <w:tcW w:w="5023" w:type="dxa"/>
          </w:tcPr>
          <w:p w:rsidR="00A55EAB" w:rsidRDefault="00A55EAB" w:rsidP="00C14220">
            <w:r>
              <w:t>Of (C) aggregate amount of debt that was converted into other securities.</w:t>
            </w:r>
          </w:p>
        </w:tc>
        <w:tc>
          <w:tcPr>
            <w:tcW w:w="1291" w:type="dxa"/>
          </w:tcPr>
          <w:p w:rsidR="00A55EAB" w:rsidRDefault="00A55EAB" w:rsidP="00C14220"/>
        </w:tc>
        <w:tc>
          <w:tcPr>
            <w:tcW w:w="1134" w:type="dxa"/>
          </w:tcPr>
          <w:p w:rsidR="00A55EAB" w:rsidRDefault="00A55EAB" w:rsidP="00C14220"/>
        </w:tc>
        <w:tc>
          <w:tcPr>
            <w:tcW w:w="993" w:type="dxa"/>
          </w:tcPr>
          <w:p w:rsidR="00A55EAB" w:rsidRDefault="00A55EAB" w:rsidP="00C14220"/>
        </w:tc>
        <w:tc>
          <w:tcPr>
            <w:tcW w:w="850" w:type="dxa"/>
          </w:tcPr>
          <w:p w:rsidR="00A55EAB" w:rsidRDefault="00A55EAB" w:rsidP="00C14220"/>
        </w:tc>
      </w:tr>
      <w:tr w:rsidR="00A55EAB" w:rsidTr="00C14220">
        <w:tc>
          <w:tcPr>
            <w:tcW w:w="485" w:type="dxa"/>
          </w:tcPr>
          <w:p w:rsidR="00A55EAB" w:rsidRDefault="00A55EAB" w:rsidP="00C14220">
            <w:r>
              <w:t>(E)</w:t>
            </w:r>
          </w:p>
        </w:tc>
        <w:tc>
          <w:tcPr>
            <w:tcW w:w="5023" w:type="dxa"/>
          </w:tcPr>
          <w:p w:rsidR="00A55EAB" w:rsidRDefault="00A55EAB" w:rsidP="00C14220">
            <w:r>
              <w:t>Additional funding sanctioned, if any, including between invocation of the plan and implementation.</w:t>
            </w:r>
          </w:p>
        </w:tc>
        <w:tc>
          <w:tcPr>
            <w:tcW w:w="1291" w:type="dxa"/>
          </w:tcPr>
          <w:p w:rsidR="00A55EAB" w:rsidRDefault="00A55EAB" w:rsidP="00C14220"/>
        </w:tc>
        <w:tc>
          <w:tcPr>
            <w:tcW w:w="1134" w:type="dxa"/>
          </w:tcPr>
          <w:p w:rsidR="00A55EAB" w:rsidRDefault="00A55EAB" w:rsidP="00C14220"/>
        </w:tc>
        <w:tc>
          <w:tcPr>
            <w:tcW w:w="993" w:type="dxa"/>
          </w:tcPr>
          <w:p w:rsidR="00A55EAB" w:rsidRDefault="00A55EAB" w:rsidP="00C14220"/>
        </w:tc>
        <w:tc>
          <w:tcPr>
            <w:tcW w:w="850" w:type="dxa"/>
          </w:tcPr>
          <w:p w:rsidR="00A55EAB" w:rsidRDefault="00A55EAB" w:rsidP="00C14220"/>
        </w:tc>
      </w:tr>
      <w:tr w:rsidR="00A55EAB" w:rsidTr="00C14220">
        <w:tc>
          <w:tcPr>
            <w:tcW w:w="485" w:type="dxa"/>
          </w:tcPr>
          <w:p w:rsidR="00A55EAB" w:rsidRDefault="00A55EAB" w:rsidP="00C14220">
            <w:r>
              <w:t>(F)</w:t>
            </w:r>
          </w:p>
        </w:tc>
        <w:tc>
          <w:tcPr>
            <w:tcW w:w="5023" w:type="dxa"/>
          </w:tcPr>
          <w:p w:rsidR="00A55EAB" w:rsidRDefault="00A55EAB" w:rsidP="00C14220">
            <w:r>
              <w:t>Increase in provisions on account of the implementation of the resolution plan.</w:t>
            </w:r>
          </w:p>
        </w:tc>
        <w:tc>
          <w:tcPr>
            <w:tcW w:w="1291" w:type="dxa"/>
          </w:tcPr>
          <w:p w:rsidR="00A55EAB" w:rsidRDefault="00A55EAB" w:rsidP="00C14220"/>
        </w:tc>
        <w:tc>
          <w:tcPr>
            <w:tcW w:w="1134" w:type="dxa"/>
          </w:tcPr>
          <w:p w:rsidR="00A55EAB" w:rsidRDefault="00A55EAB" w:rsidP="00C14220"/>
        </w:tc>
        <w:tc>
          <w:tcPr>
            <w:tcW w:w="993" w:type="dxa"/>
          </w:tcPr>
          <w:p w:rsidR="00A55EAB" w:rsidRDefault="00A55EAB" w:rsidP="00C14220"/>
        </w:tc>
        <w:tc>
          <w:tcPr>
            <w:tcW w:w="850" w:type="dxa"/>
          </w:tcPr>
          <w:p w:rsidR="00A55EAB" w:rsidRDefault="00A55EAB" w:rsidP="00C14220"/>
        </w:tc>
      </w:tr>
    </w:tbl>
    <w:p w:rsidR="006C7643" w:rsidRDefault="006C7643" w:rsidP="00C14220"/>
    <w:sectPr w:rsidR="006C7643" w:rsidSect="00C14220">
      <w:headerReference w:type="default" r:id="rId6"/>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24" w:rsidRDefault="004E5A24" w:rsidP="00C14220">
      <w:pPr>
        <w:spacing w:after="0" w:line="240" w:lineRule="auto"/>
      </w:pPr>
      <w:r>
        <w:separator/>
      </w:r>
    </w:p>
  </w:endnote>
  <w:endnote w:type="continuationSeparator" w:id="0">
    <w:p w:rsidR="004E5A24" w:rsidRDefault="004E5A24" w:rsidP="00C1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24" w:rsidRDefault="004E5A24" w:rsidP="00C14220">
      <w:pPr>
        <w:spacing w:after="0" w:line="240" w:lineRule="auto"/>
      </w:pPr>
      <w:r>
        <w:separator/>
      </w:r>
    </w:p>
  </w:footnote>
  <w:footnote w:type="continuationSeparator" w:id="0">
    <w:p w:rsidR="004E5A24" w:rsidRDefault="004E5A24" w:rsidP="00C14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20" w:rsidRPr="00C14220" w:rsidRDefault="00C14220" w:rsidP="00C14220">
    <w:pPr>
      <w:pStyle w:val="Header"/>
      <w:jc w:val="center"/>
      <w:rPr>
        <w:rFonts w:ascii="Kruti Dev 010" w:hAnsi="Kruti Dev 010"/>
        <w:b/>
        <w:sz w:val="56"/>
        <w:szCs w:val="56"/>
      </w:rPr>
    </w:pPr>
    <w:proofErr w:type="spellStart"/>
    <w:r w:rsidRPr="001002E4">
      <w:rPr>
        <w:rFonts w:ascii="Kruti Dev 010" w:hAnsi="Kruti Dev 010"/>
        <w:b/>
        <w:sz w:val="56"/>
        <w:szCs w:val="56"/>
      </w:rPr>
      <w:t>tkyksj</w:t>
    </w:r>
    <w:proofErr w:type="spellEnd"/>
    <w:r w:rsidRPr="001002E4">
      <w:rPr>
        <w:rFonts w:ascii="Kruti Dev 010" w:hAnsi="Kruti Dev 010"/>
        <w:b/>
        <w:sz w:val="56"/>
        <w:szCs w:val="56"/>
      </w:rPr>
      <w:t xml:space="preserve"> </w:t>
    </w:r>
    <w:proofErr w:type="spellStart"/>
    <w:r w:rsidRPr="001002E4">
      <w:rPr>
        <w:rFonts w:ascii="Kruti Dev 010" w:hAnsi="Kruti Dev 010"/>
        <w:b/>
        <w:sz w:val="56"/>
        <w:szCs w:val="56"/>
      </w:rPr>
      <w:t>ukxfjd</w:t>
    </w:r>
    <w:proofErr w:type="spellEnd"/>
    <w:r w:rsidRPr="001002E4">
      <w:rPr>
        <w:rFonts w:ascii="Kruti Dev 010" w:hAnsi="Kruti Dev 010"/>
        <w:b/>
        <w:sz w:val="56"/>
        <w:szCs w:val="56"/>
      </w:rPr>
      <w:t xml:space="preserve"> </w:t>
    </w:r>
    <w:proofErr w:type="spellStart"/>
    <w:r w:rsidRPr="001002E4">
      <w:rPr>
        <w:rFonts w:ascii="Kruti Dev 010" w:hAnsi="Kruti Dev 010"/>
        <w:b/>
        <w:sz w:val="56"/>
        <w:szCs w:val="56"/>
      </w:rPr>
      <w:t>lgdkjh</w:t>
    </w:r>
    <w:proofErr w:type="spellEnd"/>
    <w:r w:rsidRPr="001002E4">
      <w:rPr>
        <w:rFonts w:ascii="Kruti Dev 010" w:hAnsi="Kruti Dev 010"/>
        <w:b/>
        <w:sz w:val="56"/>
        <w:szCs w:val="56"/>
      </w:rPr>
      <w:t xml:space="preserve"> </w:t>
    </w:r>
    <w:proofErr w:type="spellStart"/>
    <w:r w:rsidRPr="001002E4">
      <w:rPr>
        <w:rFonts w:ascii="Kruti Dev 010" w:hAnsi="Kruti Dev 010"/>
        <w:b/>
        <w:sz w:val="56"/>
        <w:szCs w:val="56"/>
      </w:rPr>
      <w:t>cSad</w:t>
    </w:r>
    <w:proofErr w:type="spellEnd"/>
    <w:r w:rsidRPr="001002E4">
      <w:rPr>
        <w:rFonts w:ascii="Kruti Dev 010" w:hAnsi="Kruti Dev 010"/>
        <w:b/>
        <w:sz w:val="56"/>
        <w:szCs w:val="56"/>
      </w:rPr>
      <w:t xml:space="preserve"> </w:t>
    </w:r>
    <w:proofErr w:type="spellStart"/>
    <w:r w:rsidRPr="001002E4">
      <w:rPr>
        <w:rFonts w:ascii="Kruti Dev 010" w:hAnsi="Kruti Dev 010"/>
        <w:b/>
        <w:sz w:val="56"/>
        <w:szCs w:val="56"/>
      </w:rPr>
      <w:t>fyfeVsM</w:t>
    </w:r>
    <w:proofErr w:type="spellEnd"/>
    <w:proofErr w:type="gramStart"/>
    <w:r w:rsidRPr="001002E4">
      <w:rPr>
        <w:rFonts w:ascii="Kruti Dev 010" w:hAnsi="Kruti Dev 010"/>
        <w:b/>
        <w:sz w:val="56"/>
        <w:szCs w:val="56"/>
      </w:rPr>
      <w:t>+]</w:t>
    </w:r>
    <w:proofErr w:type="spellStart"/>
    <w:r w:rsidRPr="001002E4">
      <w:rPr>
        <w:rFonts w:ascii="Kruti Dev 010" w:hAnsi="Kruti Dev 010"/>
        <w:b/>
        <w:sz w:val="56"/>
        <w:szCs w:val="56"/>
      </w:rPr>
      <w:t>tkyksj</w:t>
    </w:r>
    <w:proofErr w:type="spellEnd"/>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9E"/>
    <w:rsid w:val="001B4A9E"/>
    <w:rsid w:val="00405B63"/>
    <w:rsid w:val="004E5A24"/>
    <w:rsid w:val="00566006"/>
    <w:rsid w:val="00581991"/>
    <w:rsid w:val="006C5FB6"/>
    <w:rsid w:val="006C7643"/>
    <w:rsid w:val="00A55EAB"/>
    <w:rsid w:val="00A7520A"/>
    <w:rsid w:val="00C1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5CF5"/>
  <w15:chartTrackingRefBased/>
  <w15:docId w15:val="{5B34258E-16D0-421F-ACC5-507403AD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AB"/>
    <w:rPr>
      <w:rFonts w:eastAsia="Batang"/>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EAB"/>
    <w:pPr>
      <w:spacing w:after="0" w:line="240" w:lineRule="auto"/>
    </w:pPr>
    <w:rPr>
      <w:rFonts w:eastAsia="Batang"/>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EAB"/>
    <w:pPr>
      <w:autoSpaceDE w:val="0"/>
      <w:autoSpaceDN w:val="0"/>
      <w:adjustRightInd w:val="0"/>
      <w:spacing w:after="0" w:line="240" w:lineRule="auto"/>
    </w:pPr>
    <w:rPr>
      <w:rFonts w:ascii="Book Antiqua" w:eastAsia="Times New Roman" w:hAnsi="Book Antiqua" w:cs="Book Antiqua"/>
      <w:color w:val="000000"/>
      <w:sz w:val="24"/>
      <w:szCs w:val="24"/>
      <w:lang w:val="en-US" w:bidi="hi-IN"/>
    </w:rPr>
  </w:style>
  <w:style w:type="paragraph" w:styleId="Header">
    <w:name w:val="header"/>
    <w:basedOn w:val="Normal"/>
    <w:link w:val="HeaderChar"/>
    <w:uiPriority w:val="99"/>
    <w:unhideWhenUsed/>
    <w:rsid w:val="00C14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220"/>
    <w:rPr>
      <w:rFonts w:eastAsia="Batang"/>
      <w:lang w:val="en-US"/>
    </w:rPr>
  </w:style>
  <w:style w:type="paragraph" w:styleId="Footer">
    <w:name w:val="footer"/>
    <w:basedOn w:val="Normal"/>
    <w:link w:val="FooterChar"/>
    <w:uiPriority w:val="99"/>
    <w:unhideWhenUsed/>
    <w:rsid w:val="00C14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220"/>
    <w:rPr>
      <w:rFonts w:eastAsia="Batang"/>
      <w:lang w:val="en-US"/>
    </w:rPr>
  </w:style>
  <w:style w:type="paragraph" w:styleId="BalloonText">
    <w:name w:val="Balloon Text"/>
    <w:basedOn w:val="Normal"/>
    <w:link w:val="BalloonTextChar"/>
    <w:uiPriority w:val="99"/>
    <w:semiHidden/>
    <w:unhideWhenUsed/>
    <w:rsid w:val="00C1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220"/>
    <w:rPr>
      <w:rFonts w:ascii="Segoe UI" w:eastAsia="Batang"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Zakir Ali Sayyed</dc:creator>
  <cp:keywords/>
  <dc:description/>
  <cp:lastModifiedBy>Zakir Ali Sayyed</cp:lastModifiedBy>
  <cp:revision>5</cp:revision>
  <cp:lastPrinted>2021-07-28T11:18:00Z</cp:lastPrinted>
  <dcterms:created xsi:type="dcterms:W3CDTF">2021-07-28T07:20:00Z</dcterms:created>
  <dcterms:modified xsi:type="dcterms:W3CDTF">2021-07-30T12:56:00Z</dcterms:modified>
</cp:coreProperties>
</file>